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C0E7F" w:rsidRPr="0056182C" w:rsidRDefault="003C0E7F" w:rsidP="0056182C">
      <w:pPr>
        <w:jc w:val="center"/>
        <w:rPr>
          <w:b/>
          <w:sz w:val="36"/>
          <w:szCs w:val="36"/>
        </w:rPr>
      </w:pPr>
      <w:r w:rsidRPr="0056182C">
        <w:rPr>
          <w:b/>
          <w:sz w:val="36"/>
          <w:szCs w:val="36"/>
        </w:rPr>
        <w:t>PRZEBUDOWA DROGI GMINNEJ</w:t>
      </w:r>
    </w:p>
    <w:p w:rsidR="0056182C" w:rsidRPr="0056182C" w:rsidRDefault="0056182C" w:rsidP="0056182C">
      <w:pPr>
        <w:jc w:val="center"/>
        <w:rPr>
          <w:b/>
          <w:sz w:val="36"/>
          <w:szCs w:val="36"/>
        </w:rPr>
      </w:pPr>
      <w:r w:rsidRPr="0056182C">
        <w:rPr>
          <w:b/>
          <w:sz w:val="36"/>
          <w:szCs w:val="36"/>
        </w:rPr>
        <w:t xml:space="preserve">BIAŁOWIEŻYN </w:t>
      </w:r>
      <w:r>
        <w:rPr>
          <w:b/>
          <w:sz w:val="36"/>
          <w:szCs w:val="36"/>
        </w:rPr>
        <w:t xml:space="preserve">- </w:t>
      </w:r>
      <w:r w:rsidRPr="0056182C">
        <w:rPr>
          <w:b/>
          <w:sz w:val="36"/>
          <w:szCs w:val="36"/>
        </w:rPr>
        <w:t>KŁOKOCK NR 170522 C</w:t>
      </w:r>
    </w:p>
    <w:p w:rsidR="0056182C" w:rsidRPr="0056182C" w:rsidRDefault="0056182C" w:rsidP="0056182C">
      <w:pPr>
        <w:jc w:val="center"/>
        <w:rPr>
          <w:b/>
          <w:sz w:val="36"/>
          <w:szCs w:val="36"/>
        </w:rPr>
      </w:pPr>
      <w:r w:rsidRPr="0056182C">
        <w:rPr>
          <w:b/>
          <w:sz w:val="36"/>
          <w:szCs w:val="36"/>
        </w:rPr>
        <w:t>ETAP II i III</w:t>
      </w:r>
    </w:p>
    <w:p w:rsidR="003C0E7F" w:rsidRDefault="003C0E7F" w:rsidP="006F5BAA">
      <w:pPr>
        <w:pStyle w:val="Bezodstpw1"/>
        <w:spacing w:line="276" w:lineRule="auto"/>
        <w:ind w:left="708"/>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bookmarkEnd w:id="0"/>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FE6F39" w:rsidRPr="00CB19B9" w:rsidRDefault="00FE6F39" w:rsidP="00FE6F39">
      <w:pPr>
        <w:pStyle w:val="Bezodstpw"/>
        <w:ind w:left="5670"/>
        <w:jc w:val="center"/>
        <w:rPr>
          <w:rFonts w:ascii="Times New Roman" w:hAnsi="Times New Roman"/>
        </w:rPr>
      </w:pPr>
      <w:r w:rsidRPr="00CB19B9">
        <w:rPr>
          <w:rFonts w:ascii="Times New Roman" w:hAnsi="Times New Roman"/>
        </w:rPr>
        <w:t>Zatwierdził:</w:t>
      </w:r>
    </w:p>
    <w:p w:rsidR="00FE6F39" w:rsidRPr="00BD0F07" w:rsidRDefault="00FE6F39" w:rsidP="00FE6F39">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FE6F39" w:rsidRPr="00CB19B9" w:rsidRDefault="00FE6F39" w:rsidP="00FE6F39">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FE6F39" w:rsidRPr="002167AB" w:rsidRDefault="00FE6F39" w:rsidP="00FE6F39">
      <w:pPr>
        <w:pStyle w:val="Bezodstpw"/>
        <w:rPr>
          <w:rFonts w:ascii="Times New Roman" w:hAnsi="Times New Roman"/>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56182C">
        <w:rPr>
          <w:rStyle w:val="FontStyle36"/>
          <w:color w:val="auto"/>
        </w:rPr>
        <w:t>2</w:t>
      </w:r>
      <w:r w:rsidR="00FE6F39">
        <w:rPr>
          <w:rStyle w:val="FontStyle36"/>
          <w:color w:val="auto"/>
        </w:rPr>
        <w:t>8</w:t>
      </w:r>
      <w:r w:rsidRPr="000F34F5">
        <w:rPr>
          <w:rStyle w:val="FontStyle36"/>
          <w:color w:val="auto"/>
        </w:rPr>
        <w:t>.0</w:t>
      </w:r>
      <w:r w:rsidR="0056182C">
        <w:rPr>
          <w:rStyle w:val="FontStyle36"/>
          <w:color w:val="auto"/>
        </w:rPr>
        <w:t>5</w:t>
      </w:r>
      <w:r w:rsidRPr="000F34F5">
        <w:rPr>
          <w:rStyle w:val="FontStyle36"/>
          <w:color w:val="auto"/>
        </w:rPr>
        <w:t>.201</w:t>
      </w:r>
      <w:r w:rsidR="0056182C">
        <w:rPr>
          <w:rStyle w:val="FontStyle36"/>
          <w:color w:val="auto"/>
        </w:rPr>
        <w:t>9</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56182C" w:rsidRPr="00DB7E14">
        <w:rPr>
          <w:rFonts w:ascii="Times New Roman" w:hAnsi="Times New Roman"/>
          <w:i/>
        </w:rPr>
        <w:t>Dz. U. z 201</w:t>
      </w:r>
      <w:r w:rsidR="0056182C">
        <w:rPr>
          <w:rFonts w:ascii="Times New Roman" w:hAnsi="Times New Roman"/>
          <w:i/>
        </w:rPr>
        <w:t>8</w:t>
      </w:r>
      <w:r w:rsidR="0056182C" w:rsidRPr="00DB7E14">
        <w:rPr>
          <w:rFonts w:ascii="Times New Roman" w:hAnsi="Times New Roman"/>
          <w:i/>
        </w:rPr>
        <w:t xml:space="preserve"> r. Nr poz. 1</w:t>
      </w:r>
      <w:r w:rsidR="0056182C">
        <w:rPr>
          <w:rFonts w:ascii="Times New Roman" w:hAnsi="Times New Roman"/>
          <w:i/>
        </w:rPr>
        <w:t>986</w:t>
      </w:r>
      <w:r w:rsidRPr="00761C6B">
        <w:rPr>
          <w:rFonts w:ascii="Times New Roman" w:hAnsi="Times New Roman"/>
        </w:rPr>
        <w:t>).</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56182C" w:rsidRDefault="0056182C" w:rsidP="0056182C">
      <w:pPr>
        <w:pStyle w:val="Bezodstpw"/>
        <w:numPr>
          <w:ilvl w:val="0"/>
          <w:numId w:val="87"/>
        </w:numPr>
        <w:spacing w:line="276" w:lineRule="auto"/>
        <w:ind w:left="426" w:hanging="426"/>
        <w:jc w:val="both"/>
        <w:rPr>
          <w:rStyle w:val="FontStyle77"/>
          <w:sz w:val="24"/>
          <w:szCs w:val="24"/>
        </w:rPr>
      </w:pPr>
      <w:r w:rsidRPr="0056182C">
        <w:rPr>
          <w:rStyle w:val="FontStyle77"/>
          <w:sz w:val="24"/>
          <w:szCs w:val="24"/>
        </w:rPr>
        <w:t xml:space="preserve">Klauzula informacyjna art. 13 RODO stanowiący Załącznik nr </w:t>
      </w:r>
      <w:r w:rsidR="004C0026">
        <w:rPr>
          <w:rStyle w:val="FontStyle77"/>
          <w:sz w:val="24"/>
          <w:szCs w:val="24"/>
        </w:rPr>
        <w:t>8</w:t>
      </w:r>
      <w:r w:rsidRPr="0056182C">
        <w:rPr>
          <w:rStyle w:val="FontStyle77"/>
          <w:sz w:val="24"/>
          <w:szCs w:val="24"/>
        </w:rPr>
        <w:t>.</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Default="00574BD8" w:rsidP="00122A05">
      <w:pPr>
        <w:pStyle w:val="Akapitzlist"/>
        <w:numPr>
          <w:ilvl w:val="0"/>
          <w:numId w:val="101"/>
        </w:numPr>
        <w:spacing w:line="276" w:lineRule="auto"/>
        <w:ind w:left="284" w:hanging="284"/>
        <w:jc w:val="both"/>
      </w:pPr>
      <w:r w:rsidRPr="00A3760C">
        <w:t xml:space="preserve">Przedmiotem zamówienia </w:t>
      </w:r>
      <w:r w:rsidR="00607E90" w:rsidRPr="00215059">
        <w:rPr>
          <w:rFonts w:cs="Arial"/>
        </w:rPr>
        <w:t xml:space="preserve">są roboty budowlane </w:t>
      </w:r>
      <w:r w:rsidR="00607E90">
        <w:rPr>
          <w:rFonts w:cs="Arial"/>
        </w:rPr>
        <w:t>w zakresie przebudowy</w:t>
      </w:r>
      <w:r w:rsidR="00241B5E">
        <w:rPr>
          <w:rFonts w:cs="Arial"/>
        </w:rPr>
        <w:t xml:space="preserve"> </w:t>
      </w:r>
      <w:r w:rsidR="00346AF6" w:rsidRPr="00346AF6">
        <w:t xml:space="preserve">drogi gminnej </w:t>
      </w:r>
      <w:r w:rsidR="0056182C">
        <w:t>Białowieżyn</w:t>
      </w:r>
      <w:r w:rsidR="0056182C" w:rsidRPr="00D44B9F">
        <w:t xml:space="preserve"> - </w:t>
      </w:r>
      <w:r w:rsidR="0056182C">
        <w:t>Kłokock</w:t>
      </w:r>
      <w:r w:rsidR="0056182C" w:rsidRPr="00D44B9F">
        <w:t xml:space="preserve"> nr 1705</w:t>
      </w:r>
      <w:r w:rsidR="0056182C">
        <w:t>22</w:t>
      </w:r>
      <w:r w:rsidR="0056182C" w:rsidRPr="00D44B9F">
        <w:t xml:space="preserve"> C</w:t>
      </w:r>
      <w:r w:rsidR="002E39AF" w:rsidRPr="00A3760C">
        <w:t>.</w:t>
      </w:r>
    </w:p>
    <w:p w:rsidR="00A3760C" w:rsidRDefault="00CA73BF" w:rsidP="00122A05">
      <w:pPr>
        <w:pStyle w:val="Akapitzlist"/>
        <w:numPr>
          <w:ilvl w:val="0"/>
          <w:numId w:val="101"/>
        </w:numPr>
        <w:spacing w:line="276" w:lineRule="auto"/>
        <w:ind w:left="284" w:hanging="284"/>
        <w:jc w:val="both"/>
      </w:pPr>
      <w:r w:rsidRPr="00A3760C">
        <w:t xml:space="preserve">Zakres rzeczowy </w:t>
      </w:r>
      <w:r w:rsidR="00607E90" w:rsidRPr="00324656">
        <w:t xml:space="preserve">objęty niniejszym postępowaniem, podzielony został na </w:t>
      </w:r>
      <w:r w:rsidR="003050F9">
        <w:t>dwie</w:t>
      </w:r>
      <w:r w:rsidR="00607E90" w:rsidRPr="00324656">
        <w:t xml:space="preserve"> części:</w:t>
      </w:r>
    </w:p>
    <w:p w:rsidR="00607E90" w:rsidRPr="00D44B9F" w:rsidRDefault="00241B5E" w:rsidP="00122A05">
      <w:pPr>
        <w:pStyle w:val="Akapitzlist"/>
        <w:numPr>
          <w:ilvl w:val="0"/>
          <w:numId w:val="104"/>
        </w:numPr>
        <w:spacing w:line="276" w:lineRule="auto"/>
        <w:ind w:left="567" w:hanging="283"/>
        <w:jc w:val="both"/>
      </w:pPr>
      <w:r w:rsidRPr="00D44B9F">
        <w:t>c</w:t>
      </w:r>
      <w:r w:rsidR="00607E90" w:rsidRPr="00D44B9F">
        <w:t>zęść I zamówienia:</w:t>
      </w:r>
      <w:r w:rsidR="00FE67F2" w:rsidRPr="00D44B9F">
        <w:t xml:space="preserve"> Przebudowa drogi gminnej </w:t>
      </w:r>
      <w:bookmarkStart w:id="1" w:name="_Hlk4426503"/>
      <w:r w:rsidR="0056182C">
        <w:t>Białowieżyn</w:t>
      </w:r>
      <w:r w:rsidR="00FE67F2" w:rsidRPr="00D44B9F">
        <w:t xml:space="preserve"> - </w:t>
      </w:r>
      <w:r w:rsidR="0056182C">
        <w:t>Kłokock</w:t>
      </w:r>
      <w:r w:rsidR="00FE67F2" w:rsidRPr="00D44B9F">
        <w:t xml:space="preserve"> nr 1705</w:t>
      </w:r>
      <w:r w:rsidR="0056182C">
        <w:t>22</w:t>
      </w:r>
      <w:r w:rsidR="00FE67F2" w:rsidRPr="00D44B9F">
        <w:t xml:space="preserve"> C</w:t>
      </w:r>
      <w:r w:rsidR="00346AF6">
        <w:t xml:space="preserve"> </w:t>
      </w:r>
      <w:bookmarkEnd w:id="1"/>
      <w:r w:rsidR="00346AF6">
        <w:t>- etap I</w:t>
      </w:r>
      <w:r w:rsidR="0056182C">
        <w:t>I</w:t>
      </w:r>
      <w:r w:rsidR="00047738" w:rsidRPr="00D44B9F">
        <w:t>,</w:t>
      </w:r>
    </w:p>
    <w:p w:rsidR="00607E90" w:rsidRPr="00D44B9F" w:rsidRDefault="00241B5E" w:rsidP="00122A05">
      <w:pPr>
        <w:pStyle w:val="Akapitzlist"/>
        <w:numPr>
          <w:ilvl w:val="0"/>
          <w:numId w:val="104"/>
        </w:numPr>
        <w:spacing w:line="276" w:lineRule="auto"/>
        <w:ind w:left="567" w:hanging="283"/>
        <w:jc w:val="both"/>
      </w:pPr>
      <w:r w:rsidRPr="00D44B9F">
        <w:t>c</w:t>
      </w:r>
      <w:r w:rsidR="00607E90" w:rsidRPr="00D44B9F">
        <w:t>zęść II zamówienia:</w:t>
      </w:r>
      <w:r w:rsidR="00047738" w:rsidRPr="00D44B9F">
        <w:rPr>
          <w:rFonts w:eastAsiaTheme="minorHAnsi"/>
          <w:lang w:eastAsia="en-US"/>
        </w:rPr>
        <w:t xml:space="preserve"> </w:t>
      </w:r>
      <w:r w:rsidR="00346AF6" w:rsidRPr="00D44B9F">
        <w:t xml:space="preserve">Przebudowa drogi gminnej </w:t>
      </w:r>
      <w:r w:rsidR="0056182C">
        <w:t>Białowieżyn</w:t>
      </w:r>
      <w:r w:rsidR="00346AF6" w:rsidRPr="00D44B9F">
        <w:t xml:space="preserve"> - </w:t>
      </w:r>
      <w:r w:rsidR="0056182C">
        <w:t>Kłokock</w:t>
      </w:r>
      <w:r w:rsidR="00346AF6" w:rsidRPr="00D44B9F">
        <w:t xml:space="preserve"> nr 1705</w:t>
      </w:r>
      <w:r w:rsidR="0056182C">
        <w:t>22</w:t>
      </w:r>
      <w:r w:rsidR="00346AF6" w:rsidRPr="00D44B9F">
        <w:t xml:space="preserve"> C</w:t>
      </w:r>
      <w:r w:rsidR="00346AF6">
        <w:t xml:space="preserve"> -etap II</w:t>
      </w:r>
      <w:r w:rsidR="0056182C">
        <w:t>I</w:t>
      </w:r>
      <w:r w:rsidR="00047738" w:rsidRPr="00D44B9F">
        <w:rPr>
          <w:rFonts w:eastAsiaTheme="minorHAnsi"/>
          <w:lang w:eastAsia="en-US"/>
        </w:rPr>
        <w:t>,</w:t>
      </w:r>
    </w:p>
    <w:p w:rsidR="00A3760C" w:rsidRDefault="00A3760C" w:rsidP="00122A05">
      <w:pPr>
        <w:pStyle w:val="Bezodstpw"/>
        <w:numPr>
          <w:ilvl w:val="0"/>
          <w:numId w:val="101"/>
        </w:numPr>
        <w:spacing w:line="276" w:lineRule="auto"/>
        <w:ind w:left="284" w:hanging="284"/>
        <w:jc w:val="both"/>
        <w:rPr>
          <w:rStyle w:val="FontStyle77"/>
          <w:sz w:val="24"/>
          <w:szCs w:val="24"/>
        </w:rPr>
      </w:pPr>
      <w:r w:rsidRPr="00F411FB">
        <w:rPr>
          <w:rStyle w:val="FontStyle77"/>
          <w:sz w:val="24"/>
          <w:szCs w:val="24"/>
        </w:rPr>
        <w:t>Szczegółowy opis przedmiotu zamówienia:</w:t>
      </w:r>
    </w:p>
    <w:p w:rsidR="00241B5E" w:rsidRPr="00346AF6" w:rsidRDefault="00241B5E" w:rsidP="00241B5E">
      <w:pPr>
        <w:spacing w:line="360" w:lineRule="auto"/>
        <w:ind w:left="284"/>
        <w:jc w:val="both"/>
        <w:rPr>
          <w:b/>
          <w:u w:val="single"/>
        </w:rPr>
      </w:pPr>
      <w:r w:rsidRPr="00346AF6">
        <w:rPr>
          <w:b/>
          <w:u w:val="single"/>
        </w:rPr>
        <w:t>Część I zamówienia:</w:t>
      </w:r>
      <w:r w:rsidR="00FE67F2" w:rsidRPr="00346AF6">
        <w:rPr>
          <w:b/>
        </w:rPr>
        <w:t xml:space="preserve"> </w:t>
      </w:r>
      <w:r w:rsidR="00346AF6" w:rsidRPr="00346AF6">
        <w:rPr>
          <w:b/>
        </w:rPr>
        <w:t xml:space="preserve">Przebudowa drogi gminnej </w:t>
      </w:r>
      <w:r w:rsidR="0056182C" w:rsidRPr="0056182C">
        <w:rPr>
          <w:b/>
        </w:rPr>
        <w:t>Białowieżyn - Kłokock nr 170522 C</w:t>
      </w:r>
      <w:r w:rsidR="00346AF6" w:rsidRPr="00346AF6">
        <w:rPr>
          <w:b/>
        </w:rPr>
        <w:t xml:space="preserve"> - etap I</w:t>
      </w:r>
      <w:r w:rsidR="0056182C">
        <w:rPr>
          <w:b/>
        </w:rPr>
        <w:t>I</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Przedmiotowa inwestycja zlokalizowana jest w miejscowości </w:t>
      </w:r>
      <w:r w:rsidR="00CC0AF1">
        <w:rPr>
          <w:rFonts w:ascii="Times New Roman" w:hAnsi="Times New Roman"/>
        </w:rPr>
        <w:t>Białowieżyn i Kłokock</w:t>
      </w:r>
      <w:r w:rsidRPr="00684625">
        <w:rPr>
          <w:rFonts w:ascii="Times New Roman" w:hAnsi="Times New Roman"/>
        </w:rPr>
        <w:t xml:space="preserve">. Pas drogowy stanowi działkę </w:t>
      </w:r>
      <w:r w:rsidR="00CC0AF1">
        <w:rPr>
          <w:rFonts w:ascii="Times New Roman" w:hAnsi="Times New Roman"/>
        </w:rPr>
        <w:t>105</w:t>
      </w:r>
      <w:r w:rsidRPr="00684625">
        <w:rPr>
          <w:rFonts w:ascii="Times New Roman" w:hAnsi="Times New Roman"/>
        </w:rPr>
        <w:t xml:space="preserve"> obręb </w:t>
      </w:r>
      <w:r w:rsidR="00CC0AF1">
        <w:rPr>
          <w:rFonts w:ascii="Times New Roman" w:hAnsi="Times New Roman"/>
        </w:rPr>
        <w:t>Białowieżyn i 84 obręb Kłokock</w:t>
      </w:r>
      <w:r w:rsidRPr="00684625">
        <w:rPr>
          <w:rFonts w:ascii="Times New Roman" w:hAnsi="Times New Roman"/>
        </w:rPr>
        <w:t xml:space="preserve">. </w:t>
      </w:r>
      <w:bookmarkStart w:id="2" w:name="_Hlk4430944"/>
      <w:r w:rsidRPr="00684625">
        <w:rPr>
          <w:rFonts w:ascii="Times New Roman" w:hAnsi="Times New Roman"/>
        </w:rPr>
        <w:t xml:space="preserve">Istniejąca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047738" w:rsidRPr="00047738">
        <w:rPr>
          <w:rFonts w:ascii="Times New Roman" w:eastAsiaTheme="minorHAnsi" w:hAnsi="Times New Roman"/>
          <w:lang w:eastAsia="en-US"/>
        </w:rPr>
        <w:t>z licznymi ubytkami</w:t>
      </w:r>
      <w:r w:rsidRPr="00684625">
        <w:rPr>
          <w:rFonts w:ascii="Times New Roman" w:hAnsi="Times New Roman"/>
        </w:rPr>
        <w:t xml:space="preserve">, bez uregulowanych poboczy. Teren objęty inwestycją jest częściowo zurbanizowany. Wzdłuż drogi zlokalizowane są domy mieszkalne. Na terenie objętym inwestycją nie występuje zadrzewienie oraz infrastruktura kolidująca z remontem. </w:t>
      </w:r>
    </w:p>
    <w:bookmarkEnd w:id="2"/>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684625" w:rsidRPr="00684625">
        <w:rPr>
          <w:rFonts w:ascii="Times New Roman" w:hAnsi="Times New Roman"/>
        </w:rPr>
        <w:t>9</w:t>
      </w:r>
      <w:r w:rsidR="00CC0AF1">
        <w:rPr>
          <w:rFonts w:ascii="Times New Roman" w:hAnsi="Times New Roman"/>
        </w:rPr>
        <w:t>43</w:t>
      </w:r>
      <w:r w:rsidR="00684625" w:rsidRPr="00684625">
        <w:rPr>
          <w:rFonts w:ascii="Times New Roman" w:hAnsi="Times New Roman"/>
        </w:rPr>
        <w:t xml:space="preserve"> </w:t>
      </w:r>
      <w:proofErr w:type="spellStart"/>
      <w:r w:rsidR="00684625" w:rsidRPr="00684625">
        <w:rPr>
          <w:rFonts w:ascii="Times New Roman" w:hAnsi="Times New Roman"/>
        </w:rPr>
        <w:t>mb</w:t>
      </w:r>
      <w:proofErr w:type="spellEnd"/>
      <w:r w:rsidR="00684625" w:rsidRPr="00684625">
        <w:rPr>
          <w:rFonts w:ascii="Times New Roman" w:hAnsi="Times New Roman"/>
        </w:rPr>
        <w:t xml:space="preserve"> </w:t>
      </w:r>
      <w:r w:rsidR="00567372" w:rsidRPr="00684625">
        <w:rPr>
          <w:rFonts w:ascii="Times New Roman" w:hAnsi="Times New Roman"/>
        </w:rPr>
        <w:t xml:space="preserve">nawierzchni </w:t>
      </w:r>
      <w:r w:rsidR="00425457">
        <w:rPr>
          <w:rFonts w:ascii="Times New Roman" w:hAnsi="Times New Roman"/>
        </w:rPr>
        <w:t>z betonu asfaltowego</w:t>
      </w:r>
      <w:r w:rsidR="00567372" w:rsidRPr="00684625">
        <w:rPr>
          <w:rFonts w:ascii="Times New Roman" w:hAnsi="Times New Roman"/>
        </w:rPr>
        <w:t xml:space="preserve"> o szerokości 5,</w:t>
      </w:r>
      <w:r w:rsidR="00CC0AF1">
        <w:rPr>
          <w:rFonts w:ascii="Times New Roman" w:hAnsi="Times New Roman"/>
        </w:rPr>
        <w:t>0</w:t>
      </w:r>
      <w:r w:rsidR="00567372" w:rsidRPr="00684625">
        <w:rPr>
          <w:rFonts w:ascii="Times New Roman" w:hAnsi="Times New Roman"/>
        </w:rPr>
        <w:t xml:space="preserve"> m </w:t>
      </w:r>
      <w:r w:rsidR="005F18DC">
        <w:rPr>
          <w:rFonts w:ascii="Times New Roman" w:hAnsi="Times New Roman"/>
        </w:rPr>
        <w:t>i</w:t>
      </w:r>
      <w:r w:rsidR="00567372" w:rsidRPr="00684625">
        <w:rPr>
          <w:rFonts w:ascii="Times New Roman" w:hAnsi="Times New Roman"/>
        </w:rPr>
        <w:t xml:space="preserve"> spadku daszkowym 2% </w:t>
      </w:r>
      <w:r w:rsidR="005F18DC">
        <w:rPr>
          <w:rFonts w:ascii="Times New Roman" w:hAnsi="Times New Roman"/>
        </w:rPr>
        <w:t>.</w:t>
      </w:r>
    </w:p>
    <w:p w:rsidR="00241B5E" w:rsidRPr="00684625" w:rsidRDefault="00241B5E" w:rsidP="00122A05">
      <w:pPr>
        <w:pStyle w:val="Bezodstpw"/>
        <w:numPr>
          <w:ilvl w:val="0"/>
          <w:numId w:val="105"/>
        </w:numPr>
        <w:spacing w:line="276" w:lineRule="auto"/>
        <w:ind w:left="567" w:hanging="283"/>
        <w:jc w:val="both"/>
        <w:rPr>
          <w:rFonts w:ascii="Times New Roman" w:hAnsi="Times New Roman"/>
        </w:rPr>
      </w:pPr>
      <w:r w:rsidRPr="00684625">
        <w:rPr>
          <w:rFonts w:ascii="Times New Roman" w:hAnsi="Times New Roman"/>
        </w:rPr>
        <w:lastRenderedPageBreak/>
        <w:t>Konstrukcja jezdni</w:t>
      </w:r>
      <w:r w:rsidR="00CC0AF1">
        <w:rPr>
          <w:rFonts w:ascii="Times New Roman" w:hAnsi="Times New Roman"/>
        </w:rPr>
        <w:t xml:space="preserve"> i skrzyżowań</w:t>
      </w:r>
      <w:r w:rsidR="00684625">
        <w:rPr>
          <w:rFonts w:ascii="Times New Roman" w:hAnsi="Times New Roman"/>
        </w:rPr>
        <w:t>:</w:t>
      </w:r>
    </w:p>
    <w:p w:rsidR="00684625" w:rsidRPr="00684625" w:rsidRDefault="00684625" w:rsidP="00122A05">
      <w:pPr>
        <w:pStyle w:val="Bezodstpw"/>
        <w:numPr>
          <w:ilvl w:val="0"/>
          <w:numId w:val="106"/>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wi</w:t>
      </w:r>
      <w:r w:rsidRPr="00684625">
        <w:rPr>
          <w:rFonts w:ascii="Times New Roman" w:eastAsia="ArialMT" w:hAnsi="Times New Roman"/>
        </w:rPr>
        <w:t>ążą</w:t>
      </w:r>
      <w:r w:rsidRPr="00684625">
        <w:rPr>
          <w:rFonts w:ascii="Times New Roman" w:eastAsiaTheme="minorHAnsi" w:hAnsi="Times New Roman"/>
        </w:rPr>
        <w:t xml:space="preserve">ca AC 11W wg WT2 2010r gr. </w:t>
      </w:r>
      <w:r w:rsidR="00CC0AF1">
        <w:rPr>
          <w:rFonts w:ascii="Times New Roman" w:eastAsiaTheme="minorHAnsi" w:hAnsi="Times New Roman"/>
        </w:rPr>
        <w:t>5</w:t>
      </w:r>
      <w:r w:rsidRPr="00684625">
        <w:rPr>
          <w:rFonts w:ascii="Times New Roman" w:eastAsiaTheme="minorHAnsi" w:hAnsi="Times New Roman"/>
        </w:rPr>
        <w:t xml:space="preserve"> cm;</w:t>
      </w:r>
    </w:p>
    <w:p w:rsidR="00684625" w:rsidRPr="00684625" w:rsidRDefault="00684625" w:rsidP="00122A05">
      <w:pPr>
        <w:pStyle w:val="Bezodstpw"/>
        <w:numPr>
          <w:ilvl w:val="0"/>
          <w:numId w:val="106"/>
        </w:numPr>
        <w:spacing w:line="276" w:lineRule="auto"/>
        <w:ind w:left="851" w:hanging="284"/>
        <w:jc w:val="both"/>
        <w:rPr>
          <w:rFonts w:ascii="Times New Roman" w:eastAsiaTheme="minorEastAsia" w:hAnsi="Times New Roman"/>
        </w:rPr>
      </w:pPr>
      <w:r w:rsidRPr="00684625">
        <w:rPr>
          <w:rFonts w:ascii="Times New Roman" w:eastAsiaTheme="minorHAnsi" w:hAnsi="Times New Roman"/>
        </w:rPr>
        <w:t>Warstwa podbudow</w:t>
      </w:r>
      <w:r w:rsidR="00CC0AF1">
        <w:rPr>
          <w:rFonts w:ascii="Times New Roman" w:eastAsiaTheme="minorHAnsi" w:hAnsi="Times New Roman"/>
        </w:rPr>
        <w:t>a</w:t>
      </w:r>
      <w:r w:rsidRPr="00684625">
        <w:rPr>
          <w:rFonts w:ascii="Times New Roman" w:eastAsiaTheme="minorHAnsi" w:hAnsi="Times New Roman"/>
        </w:rPr>
        <w:t xml:space="preserve"> zasadnicza </w:t>
      </w:r>
      <w:r w:rsidR="00CC0AF1">
        <w:rPr>
          <w:rFonts w:ascii="Times New Roman" w:eastAsiaTheme="minorHAnsi" w:hAnsi="Times New Roman"/>
        </w:rPr>
        <w:t xml:space="preserve">z mieszanki niezwiązanej z </w:t>
      </w:r>
      <w:r w:rsidRPr="00684625">
        <w:rPr>
          <w:rFonts w:ascii="Times New Roman" w:eastAsiaTheme="minorHAnsi" w:hAnsi="Times New Roman"/>
        </w:rPr>
        <w:t xml:space="preserve">kruszywa </w:t>
      </w:r>
      <w:r w:rsidRPr="00684625">
        <w:rPr>
          <w:rFonts w:ascii="Times New Roman" w:eastAsia="ArialMT" w:hAnsi="Times New Roman"/>
        </w:rPr>
        <w:t>ł</w:t>
      </w:r>
      <w:r w:rsidRPr="00684625">
        <w:rPr>
          <w:rFonts w:ascii="Times New Roman" w:eastAsiaTheme="minorHAnsi" w:hAnsi="Times New Roman"/>
        </w:rPr>
        <w:t>amanego stabilizowanego mechanicznie 0/31,5 wg WT 4 2010r E</w:t>
      </w:r>
      <w:r w:rsidRPr="00684625">
        <w:rPr>
          <w:rFonts w:ascii="Times New Roman" w:eastAsiaTheme="minorHAnsi" w:hAnsi="Times New Roman"/>
          <w:vertAlign w:val="subscript"/>
        </w:rPr>
        <w:t>2</w:t>
      </w:r>
      <w:r w:rsidRPr="00684625">
        <w:rPr>
          <w:rFonts w:ascii="Times New Roman" w:eastAsiaTheme="minorHAnsi" w:hAnsi="Times New Roman"/>
        </w:rPr>
        <w:t xml:space="preserve"> powy</w:t>
      </w:r>
      <w:r w:rsidRPr="00684625">
        <w:rPr>
          <w:rFonts w:ascii="Times New Roman" w:eastAsia="ArialMT" w:hAnsi="Times New Roman"/>
        </w:rPr>
        <w:t>ż</w:t>
      </w:r>
      <w:r w:rsidRPr="00684625">
        <w:rPr>
          <w:rFonts w:ascii="Times New Roman" w:eastAsiaTheme="minorHAnsi" w:hAnsi="Times New Roman"/>
        </w:rPr>
        <w:t>ej 1</w:t>
      </w:r>
      <w:r w:rsidR="00425457">
        <w:rPr>
          <w:rFonts w:ascii="Times New Roman" w:eastAsiaTheme="minorHAnsi" w:hAnsi="Times New Roman"/>
        </w:rPr>
        <w:t>0</w:t>
      </w:r>
      <w:r w:rsidRPr="00684625">
        <w:rPr>
          <w:rFonts w:ascii="Times New Roman" w:eastAsiaTheme="minorHAnsi" w:hAnsi="Times New Roman"/>
        </w:rPr>
        <w:t>0 MPA I</w:t>
      </w:r>
      <w:r w:rsidRPr="00684625">
        <w:rPr>
          <w:rFonts w:ascii="Times New Roman" w:eastAsiaTheme="minorHAnsi" w:hAnsi="Times New Roman"/>
          <w:vertAlign w:val="subscript"/>
        </w:rPr>
        <w:t>0</w:t>
      </w:r>
      <w:r w:rsidRPr="00684625">
        <w:rPr>
          <w:rFonts w:ascii="Times New Roman" w:eastAsiaTheme="minorHAnsi" w:hAnsi="Times New Roman"/>
        </w:rPr>
        <w:t xml:space="preserve"> mniejsze od 2,2</w:t>
      </w:r>
      <w:r w:rsidR="00425457">
        <w:rPr>
          <w:rFonts w:ascii="Times New Roman" w:eastAsiaTheme="minorHAnsi" w:hAnsi="Times New Roman"/>
        </w:rPr>
        <w:t xml:space="preserve"> o grubości 15 cm</w:t>
      </w:r>
      <w:r w:rsidRPr="00684625">
        <w:rPr>
          <w:rFonts w:ascii="Times New Roman" w:eastAsiaTheme="minorHAnsi" w:hAnsi="Times New Roman"/>
        </w:rPr>
        <w:t xml:space="preserve"> ;</w:t>
      </w:r>
    </w:p>
    <w:p w:rsidR="00684625" w:rsidRPr="00684625" w:rsidRDefault="00684625" w:rsidP="00122A05">
      <w:pPr>
        <w:pStyle w:val="Bezodstpw"/>
        <w:numPr>
          <w:ilvl w:val="0"/>
          <w:numId w:val="105"/>
        </w:numPr>
        <w:spacing w:line="276" w:lineRule="auto"/>
        <w:ind w:left="567" w:hanging="283"/>
        <w:jc w:val="both"/>
        <w:rPr>
          <w:rFonts w:ascii="Times New Roman" w:eastAsiaTheme="minorHAnsi" w:hAnsi="Times New Roman"/>
        </w:rPr>
      </w:pPr>
      <w:r w:rsidRPr="00684625">
        <w:rPr>
          <w:rFonts w:ascii="Times New Roman" w:eastAsiaTheme="minorHAnsi" w:hAnsi="Times New Roman"/>
        </w:rPr>
        <w:t>Konstrukcja zjazdu.</w:t>
      </w:r>
    </w:p>
    <w:p w:rsidR="00684625" w:rsidRPr="00684625" w:rsidRDefault="00684625" w:rsidP="00122A05">
      <w:pPr>
        <w:pStyle w:val="Bezodstpw"/>
        <w:numPr>
          <w:ilvl w:val="0"/>
          <w:numId w:val="107"/>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 xml:space="preserve">Warstwa </w:t>
      </w:r>
      <w:r w:rsidRPr="00684625">
        <w:rPr>
          <w:rFonts w:ascii="Times New Roman" w:eastAsia="ArialMT" w:hAnsi="Times New Roman"/>
        </w:rPr>
        <w:t>ś</w:t>
      </w:r>
      <w:r w:rsidRPr="00684625">
        <w:rPr>
          <w:rFonts w:ascii="Times New Roman" w:eastAsiaTheme="minorHAnsi" w:hAnsi="Times New Roman"/>
        </w:rPr>
        <w:t xml:space="preserve">cieralna AC 11S wg WT2 2010r gr </w:t>
      </w:r>
      <w:r w:rsidR="00425457">
        <w:rPr>
          <w:rFonts w:ascii="Times New Roman" w:eastAsiaTheme="minorHAnsi" w:hAnsi="Times New Roman"/>
        </w:rPr>
        <w:t>5</w:t>
      </w:r>
      <w:r w:rsidRPr="00684625">
        <w:rPr>
          <w:rFonts w:ascii="Times New Roman" w:eastAsiaTheme="minorHAnsi" w:hAnsi="Times New Roman"/>
        </w:rPr>
        <w:t xml:space="preserve"> cm;</w:t>
      </w:r>
    </w:p>
    <w:p w:rsidR="00684625" w:rsidRPr="00684625" w:rsidRDefault="00425457" w:rsidP="00122A05">
      <w:pPr>
        <w:pStyle w:val="Bezodstpw"/>
        <w:numPr>
          <w:ilvl w:val="0"/>
          <w:numId w:val="107"/>
        </w:numPr>
        <w:spacing w:line="276" w:lineRule="auto"/>
        <w:ind w:left="851" w:hanging="284"/>
        <w:jc w:val="both"/>
        <w:rPr>
          <w:rFonts w:ascii="Times New Roman" w:eastAsiaTheme="minorHAnsi" w:hAnsi="Times New Roman"/>
        </w:rPr>
      </w:pPr>
      <w:r>
        <w:rPr>
          <w:rFonts w:ascii="Times New Roman" w:eastAsiaTheme="minorHAnsi" w:hAnsi="Times New Roman"/>
        </w:rPr>
        <w:t>Górna w</w:t>
      </w:r>
      <w:r w:rsidR="00684625" w:rsidRPr="00684625">
        <w:rPr>
          <w:rFonts w:ascii="Times New Roman" w:eastAsiaTheme="minorHAnsi" w:hAnsi="Times New Roman"/>
        </w:rPr>
        <w:t>arstwa podbudow</w:t>
      </w:r>
      <w:r>
        <w:rPr>
          <w:rFonts w:ascii="Times New Roman" w:eastAsiaTheme="minorHAnsi" w:hAnsi="Times New Roman"/>
        </w:rPr>
        <w:t>a</w:t>
      </w:r>
      <w:r w:rsidR="00684625" w:rsidRPr="00684625">
        <w:rPr>
          <w:rFonts w:ascii="Times New Roman" w:eastAsiaTheme="minorHAnsi" w:hAnsi="Times New Roman"/>
        </w:rPr>
        <w:t xml:space="preserve"> zasadnicza z mieszanki niezwi</w:t>
      </w:r>
      <w:r w:rsidR="00684625" w:rsidRPr="00684625">
        <w:rPr>
          <w:rFonts w:ascii="Times New Roman" w:eastAsia="ArialMT" w:hAnsi="Times New Roman"/>
        </w:rPr>
        <w:t>ą</w:t>
      </w:r>
      <w:r w:rsidR="00684625" w:rsidRPr="00684625">
        <w:rPr>
          <w:rFonts w:ascii="Times New Roman" w:eastAsiaTheme="minorHAnsi" w:hAnsi="Times New Roman"/>
        </w:rPr>
        <w:t xml:space="preserve">zanej z kruszywa </w:t>
      </w:r>
      <w:r w:rsidR="00684625" w:rsidRPr="00684625">
        <w:rPr>
          <w:rFonts w:ascii="Times New Roman" w:eastAsia="ArialMT" w:hAnsi="Times New Roman"/>
        </w:rPr>
        <w:t>ł</w:t>
      </w:r>
      <w:r w:rsidR="00684625" w:rsidRPr="00684625">
        <w:rPr>
          <w:rFonts w:ascii="Times New Roman" w:eastAsiaTheme="minorHAnsi" w:hAnsi="Times New Roman"/>
        </w:rPr>
        <w:t xml:space="preserve">amanego stabilizowanego mechanicznie 0/31,5 wg WT 4 2010r </w:t>
      </w:r>
      <w:r w:rsidRPr="00684625">
        <w:rPr>
          <w:rFonts w:ascii="Times New Roman" w:eastAsiaTheme="minorHAnsi" w:hAnsi="Times New Roman"/>
        </w:rPr>
        <w:t>E</w:t>
      </w:r>
      <w:r w:rsidRPr="00684625">
        <w:rPr>
          <w:rFonts w:ascii="Times New Roman" w:eastAsiaTheme="minorHAnsi" w:hAnsi="Times New Roman"/>
          <w:vertAlign w:val="subscript"/>
        </w:rPr>
        <w:t>2</w:t>
      </w:r>
      <w:r w:rsidRPr="00684625">
        <w:rPr>
          <w:rFonts w:ascii="Times New Roman" w:eastAsiaTheme="minorHAnsi" w:hAnsi="Times New Roman"/>
        </w:rPr>
        <w:t xml:space="preserve"> powy</w:t>
      </w:r>
      <w:r w:rsidRPr="00684625">
        <w:rPr>
          <w:rFonts w:ascii="Times New Roman" w:eastAsia="ArialMT" w:hAnsi="Times New Roman"/>
        </w:rPr>
        <w:t>ż</w:t>
      </w:r>
      <w:r w:rsidRPr="00684625">
        <w:rPr>
          <w:rFonts w:ascii="Times New Roman" w:eastAsiaTheme="minorHAnsi" w:hAnsi="Times New Roman"/>
        </w:rPr>
        <w:t>ej 1</w:t>
      </w:r>
      <w:r>
        <w:rPr>
          <w:rFonts w:ascii="Times New Roman" w:eastAsiaTheme="minorHAnsi" w:hAnsi="Times New Roman"/>
        </w:rPr>
        <w:t>0</w:t>
      </w:r>
      <w:r w:rsidRPr="00684625">
        <w:rPr>
          <w:rFonts w:ascii="Times New Roman" w:eastAsiaTheme="minorHAnsi" w:hAnsi="Times New Roman"/>
        </w:rPr>
        <w:t>0 MPA I</w:t>
      </w:r>
      <w:r w:rsidRPr="00684625">
        <w:rPr>
          <w:rFonts w:ascii="Times New Roman" w:eastAsiaTheme="minorHAnsi" w:hAnsi="Times New Roman"/>
          <w:vertAlign w:val="subscript"/>
        </w:rPr>
        <w:t>0</w:t>
      </w:r>
      <w:r w:rsidRPr="00684625">
        <w:rPr>
          <w:rFonts w:ascii="Times New Roman" w:eastAsiaTheme="minorHAnsi" w:hAnsi="Times New Roman"/>
        </w:rPr>
        <w:t xml:space="preserve"> mniejsze od 2,2</w:t>
      </w:r>
      <w:r>
        <w:rPr>
          <w:rFonts w:ascii="Times New Roman" w:eastAsiaTheme="minorHAnsi" w:hAnsi="Times New Roman"/>
        </w:rPr>
        <w:t xml:space="preserve"> o grubości 8 cm</w:t>
      </w:r>
      <w:r w:rsidR="00684625" w:rsidRPr="00684625">
        <w:rPr>
          <w:rFonts w:ascii="Times New Roman" w:eastAsiaTheme="minorHAnsi" w:hAnsi="Times New Roman"/>
        </w:rPr>
        <w:t>;</w:t>
      </w:r>
    </w:p>
    <w:p w:rsidR="00425457" w:rsidRDefault="00425457" w:rsidP="00425457">
      <w:pPr>
        <w:pStyle w:val="Akapitzlist"/>
        <w:numPr>
          <w:ilvl w:val="0"/>
          <w:numId w:val="107"/>
        </w:numPr>
        <w:ind w:left="851" w:hanging="284"/>
        <w:rPr>
          <w:rFonts w:eastAsiaTheme="minorHAnsi"/>
        </w:rPr>
      </w:pPr>
      <w:r>
        <w:rPr>
          <w:rFonts w:eastAsiaTheme="minorHAnsi"/>
        </w:rPr>
        <w:t>Dolna</w:t>
      </w:r>
      <w:r w:rsidRPr="00425457">
        <w:rPr>
          <w:rFonts w:eastAsiaTheme="minorHAnsi"/>
        </w:rPr>
        <w:t xml:space="preserve"> warstwa podbudowa zasadnicza z mieszanki niezwiązanej z kruszywa łamanego stabilizowanego mechanicznie 0/31,5 wg WT 4 2010r E2 powyżej 100 MPA I0 mniejsze od 2,2 o grubości </w:t>
      </w:r>
      <w:r>
        <w:rPr>
          <w:rFonts w:eastAsiaTheme="minorHAnsi"/>
        </w:rPr>
        <w:t>15</w:t>
      </w:r>
      <w:r w:rsidRPr="00425457">
        <w:rPr>
          <w:rFonts w:eastAsiaTheme="minorHAnsi"/>
        </w:rPr>
        <w:t xml:space="preserve"> cm;</w:t>
      </w:r>
    </w:p>
    <w:p w:rsidR="00425457" w:rsidRPr="00425457" w:rsidRDefault="00425457" w:rsidP="00425457">
      <w:pPr>
        <w:pStyle w:val="Akapitzlist"/>
        <w:numPr>
          <w:ilvl w:val="0"/>
          <w:numId w:val="107"/>
        </w:numPr>
        <w:ind w:left="851" w:hanging="284"/>
        <w:rPr>
          <w:rFonts w:eastAsiaTheme="minorHAnsi"/>
        </w:rPr>
      </w:pPr>
      <w:r>
        <w:rPr>
          <w:rFonts w:eastAsiaTheme="minorHAnsi"/>
        </w:rPr>
        <w:t>Warstwa odsączająca z piasku o grubości 10 cm.</w:t>
      </w:r>
    </w:p>
    <w:p w:rsidR="00684625" w:rsidRPr="00684625" w:rsidRDefault="00425457" w:rsidP="00122A05">
      <w:pPr>
        <w:pStyle w:val="Bezodstpw"/>
        <w:numPr>
          <w:ilvl w:val="0"/>
          <w:numId w:val="107"/>
        </w:numPr>
        <w:spacing w:line="276" w:lineRule="auto"/>
        <w:ind w:left="851" w:hanging="284"/>
        <w:jc w:val="both"/>
        <w:rPr>
          <w:rFonts w:ascii="Times New Roman" w:hAnsi="Times New Roman"/>
        </w:rPr>
      </w:pPr>
      <w:r>
        <w:rPr>
          <w:rFonts w:ascii="Times New Roman" w:eastAsiaTheme="minorHAnsi" w:hAnsi="Times New Roman"/>
        </w:rPr>
        <w:t xml:space="preserve">Istniejące </w:t>
      </w:r>
      <w:r w:rsidR="00684625" w:rsidRPr="00684625">
        <w:rPr>
          <w:rFonts w:ascii="Times New Roman" w:eastAsiaTheme="minorHAnsi" w:hAnsi="Times New Roman"/>
        </w:rPr>
        <w:t>profilowane i zag</w:t>
      </w:r>
      <w:r w:rsidR="00684625" w:rsidRPr="00684625">
        <w:rPr>
          <w:rFonts w:ascii="Times New Roman" w:eastAsia="ArialMT" w:hAnsi="Times New Roman"/>
        </w:rPr>
        <w:t>ę</w:t>
      </w:r>
      <w:r w:rsidR="00684625" w:rsidRPr="00684625">
        <w:rPr>
          <w:rFonts w:ascii="Times New Roman" w:eastAsiaTheme="minorHAnsi" w:hAnsi="Times New Roman"/>
        </w:rPr>
        <w:t>szczone pod</w:t>
      </w:r>
      <w:r w:rsidR="00684625" w:rsidRPr="00684625">
        <w:rPr>
          <w:rFonts w:ascii="Times New Roman" w:eastAsia="ArialMT" w:hAnsi="Times New Roman"/>
        </w:rPr>
        <w:t>łoż</w:t>
      </w:r>
      <w:r w:rsidR="00684625" w:rsidRPr="00684625">
        <w:rPr>
          <w:rFonts w:ascii="Times New Roman" w:eastAsiaTheme="minorHAnsi" w:hAnsi="Times New Roman"/>
        </w:rPr>
        <w:t>e gruntowe.</w:t>
      </w:r>
    </w:p>
    <w:p w:rsidR="00241B5E" w:rsidRPr="00346AF6" w:rsidRDefault="00241B5E" w:rsidP="00121C16">
      <w:pPr>
        <w:spacing w:line="360" w:lineRule="auto"/>
        <w:ind w:left="284"/>
        <w:jc w:val="both"/>
        <w:rPr>
          <w:b/>
          <w:u w:val="single"/>
        </w:rPr>
      </w:pPr>
      <w:r w:rsidRPr="00346AF6">
        <w:rPr>
          <w:b/>
          <w:u w:val="single"/>
        </w:rPr>
        <w:t>Część I</w:t>
      </w:r>
      <w:r w:rsidR="00047738" w:rsidRPr="00346AF6">
        <w:rPr>
          <w:b/>
          <w:u w:val="single"/>
        </w:rPr>
        <w:t>I</w:t>
      </w:r>
      <w:r w:rsidRPr="00346AF6">
        <w:rPr>
          <w:b/>
          <w:u w:val="single"/>
        </w:rPr>
        <w:t xml:space="preserve"> zamówienia: </w:t>
      </w:r>
      <w:r w:rsidR="00346AF6" w:rsidRPr="00346AF6">
        <w:rPr>
          <w:b/>
        </w:rPr>
        <w:t xml:space="preserve">Przebudowa drogi gminnej </w:t>
      </w:r>
      <w:r w:rsidR="0056182C" w:rsidRPr="0056182C">
        <w:rPr>
          <w:b/>
        </w:rPr>
        <w:t>Białowieżyn - Kłokock nr 170522 C</w:t>
      </w:r>
      <w:r w:rsidR="00346AF6" w:rsidRPr="00346AF6">
        <w:rPr>
          <w:b/>
        </w:rPr>
        <w:t xml:space="preserve"> -etap II</w:t>
      </w:r>
      <w:r w:rsidR="0056182C">
        <w:rPr>
          <w:b/>
        </w:rPr>
        <w:t>I</w:t>
      </w:r>
    </w:p>
    <w:p w:rsidR="00241B5E" w:rsidRPr="00607020" w:rsidRDefault="00241B5E" w:rsidP="00607020">
      <w:pPr>
        <w:pStyle w:val="Bezodstpw"/>
        <w:numPr>
          <w:ilvl w:val="0"/>
          <w:numId w:val="127"/>
        </w:numPr>
        <w:spacing w:line="276" w:lineRule="auto"/>
        <w:ind w:left="567" w:hanging="283"/>
        <w:jc w:val="both"/>
        <w:rPr>
          <w:rFonts w:ascii="Times New Roman" w:hAnsi="Times New Roman"/>
        </w:rPr>
      </w:pPr>
      <w:r w:rsidRPr="00607020">
        <w:rPr>
          <w:rFonts w:ascii="Times New Roman" w:hAnsi="Times New Roman"/>
        </w:rPr>
        <w:t xml:space="preserve">Projektowana inwestycja zlokalizowana jest w miejscowości </w:t>
      </w:r>
      <w:r w:rsidR="001966FC" w:rsidRPr="00607020">
        <w:rPr>
          <w:rFonts w:ascii="Times New Roman" w:hAnsi="Times New Roman"/>
        </w:rPr>
        <w:t>Białowieżyn</w:t>
      </w:r>
      <w:r w:rsidR="00346AF6" w:rsidRPr="00607020">
        <w:rPr>
          <w:rFonts w:ascii="Times New Roman" w:hAnsi="Times New Roman"/>
        </w:rPr>
        <w:t xml:space="preserve">. Pas drogowy stanowią </w:t>
      </w:r>
      <w:r w:rsidRPr="00607020">
        <w:rPr>
          <w:rFonts w:ascii="Times New Roman" w:hAnsi="Times New Roman"/>
        </w:rPr>
        <w:t>działk</w:t>
      </w:r>
      <w:r w:rsidR="001966FC" w:rsidRPr="00607020">
        <w:rPr>
          <w:rFonts w:ascii="Times New Roman" w:hAnsi="Times New Roman"/>
        </w:rPr>
        <w:t>a</w:t>
      </w:r>
      <w:r w:rsidRPr="00607020">
        <w:rPr>
          <w:rFonts w:ascii="Times New Roman" w:hAnsi="Times New Roman"/>
        </w:rPr>
        <w:t xml:space="preserve"> </w:t>
      </w:r>
      <w:r w:rsidR="00346AF6" w:rsidRPr="00607020">
        <w:rPr>
          <w:rFonts w:ascii="Times New Roman" w:hAnsi="Times New Roman"/>
        </w:rPr>
        <w:t xml:space="preserve">nr </w:t>
      </w:r>
      <w:r w:rsidR="001966FC" w:rsidRPr="00607020">
        <w:rPr>
          <w:rFonts w:ascii="Times New Roman" w:eastAsiaTheme="minorHAnsi" w:hAnsi="Times New Roman"/>
        </w:rPr>
        <w:t>105</w:t>
      </w:r>
      <w:r w:rsidR="00346AF6" w:rsidRPr="00607020">
        <w:rPr>
          <w:rFonts w:ascii="Times New Roman" w:hAnsi="Times New Roman"/>
        </w:rPr>
        <w:t xml:space="preserve"> </w:t>
      </w:r>
      <w:r w:rsidRPr="00607020">
        <w:rPr>
          <w:rFonts w:ascii="Times New Roman" w:hAnsi="Times New Roman"/>
        </w:rPr>
        <w:t xml:space="preserve">obręb </w:t>
      </w:r>
      <w:r w:rsidR="001966FC" w:rsidRPr="00607020">
        <w:rPr>
          <w:rFonts w:ascii="Times New Roman" w:hAnsi="Times New Roman"/>
        </w:rPr>
        <w:t>Białowieżyn</w:t>
      </w:r>
      <w:r w:rsidRPr="00607020">
        <w:rPr>
          <w:rFonts w:ascii="Times New Roman" w:hAnsi="Times New Roman"/>
        </w:rPr>
        <w:t xml:space="preserve">. </w:t>
      </w:r>
      <w:r w:rsidR="001966FC" w:rsidRPr="00607020">
        <w:rPr>
          <w:rFonts w:ascii="Times New Roman" w:hAnsi="Times New Roman"/>
        </w:rPr>
        <w:t xml:space="preserve">Istniejąca droga posiada nawierzchnię </w:t>
      </w:r>
      <w:r w:rsidR="001966FC" w:rsidRPr="00607020">
        <w:rPr>
          <w:rFonts w:ascii="Times New Roman" w:eastAsiaTheme="minorHAnsi" w:hAnsi="Times New Roman"/>
          <w:lang w:eastAsia="en-US"/>
        </w:rPr>
        <w:t>gruntow</w:t>
      </w:r>
      <w:r w:rsidR="001966FC" w:rsidRPr="00607020">
        <w:rPr>
          <w:rFonts w:ascii="Times New Roman" w:eastAsia="ArialMT" w:hAnsi="Times New Roman"/>
          <w:lang w:eastAsia="en-US"/>
        </w:rPr>
        <w:t xml:space="preserve">ą </w:t>
      </w:r>
      <w:r w:rsidR="001966FC" w:rsidRPr="00607020">
        <w:rPr>
          <w:rFonts w:ascii="Times New Roman" w:eastAsiaTheme="minorHAnsi" w:hAnsi="Times New Roman"/>
          <w:lang w:eastAsia="en-US"/>
        </w:rPr>
        <w:t>z licznymi ubytkami</w:t>
      </w:r>
      <w:r w:rsidR="001966FC" w:rsidRPr="00607020">
        <w:rPr>
          <w:rFonts w:ascii="Times New Roman" w:hAnsi="Times New Roman"/>
        </w:rPr>
        <w:t xml:space="preserve">, bez uregulowanych poboczy. Teren objęty inwestycją jest częściowo zurbanizowany. Wzdłuż drogi zlokalizowane są domy mieszkalne. Na terenie objętym inwestycją nie występuje zadrzewienie oraz infrastruktura kolidująca z remontem. </w:t>
      </w:r>
      <w:r w:rsidR="002943E9" w:rsidRPr="00607020">
        <w:rPr>
          <w:rStyle w:val="FontStyle69"/>
          <w:rFonts w:ascii="Times New Roman" w:hAnsi="Times New Roman"/>
          <w:sz w:val="24"/>
          <w:szCs w:val="24"/>
        </w:rPr>
        <w:t>Na terenie pasa drogowego drogi zlokalizowane są linie telefoniczne, linie energetyczne i wodociąg</w:t>
      </w:r>
      <w:r w:rsidR="002943E9" w:rsidRPr="00607020">
        <w:rPr>
          <w:rFonts w:ascii="Times New Roman" w:hAnsi="Times New Roman"/>
        </w:rPr>
        <w:t>.</w:t>
      </w:r>
    </w:p>
    <w:p w:rsidR="002943E9" w:rsidRPr="003136A1" w:rsidRDefault="00241B5E" w:rsidP="00607020">
      <w:pPr>
        <w:pStyle w:val="Akapitzlist"/>
        <w:numPr>
          <w:ilvl w:val="0"/>
          <w:numId w:val="127"/>
        </w:numPr>
        <w:spacing w:line="276" w:lineRule="auto"/>
        <w:ind w:left="567" w:hanging="283"/>
        <w:jc w:val="both"/>
      </w:pPr>
      <w:r w:rsidRPr="00047738">
        <w:t xml:space="preserve">Zamówienie </w:t>
      </w:r>
      <w:r w:rsidR="002943E9" w:rsidRPr="00F56A90">
        <w:t xml:space="preserve">obejmuje wykonanie </w:t>
      </w:r>
      <w:r w:rsidR="001966FC">
        <w:rPr>
          <w:rFonts w:eastAsiaTheme="minorHAnsi"/>
          <w:lang w:eastAsia="en-US"/>
        </w:rPr>
        <w:t>577</w:t>
      </w:r>
      <w:r w:rsidR="002943E9" w:rsidRPr="00F56A90">
        <w:t xml:space="preserve">,00 </w:t>
      </w:r>
      <w:proofErr w:type="spellStart"/>
      <w:r w:rsidR="002943E9" w:rsidRPr="00F56A90">
        <w:t>mb</w:t>
      </w:r>
      <w:proofErr w:type="spellEnd"/>
      <w:r w:rsidR="002943E9" w:rsidRPr="00F56A90">
        <w:t xml:space="preserve"> nawierzchni z betonu asfaltowego o szerokości 5,0 m o spadku daszkowym 2%</w:t>
      </w:r>
      <w:r w:rsidR="00607020">
        <w:t>.</w:t>
      </w:r>
    </w:p>
    <w:p w:rsidR="001966FC" w:rsidRPr="00684625" w:rsidRDefault="001966FC" w:rsidP="00607020">
      <w:pPr>
        <w:pStyle w:val="Bezodstpw"/>
        <w:numPr>
          <w:ilvl w:val="0"/>
          <w:numId w:val="127"/>
        </w:numPr>
        <w:spacing w:line="276" w:lineRule="auto"/>
        <w:ind w:left="567" w:hanging="283"/>
        <w:jc w:val="both"/>
        <w:rPr>
          <w:rFonts w:ascii="Times New Roman" w:hAnsi="Times New Roman"/>
        </w:rPr>
      </w:pPr>
      <w:r w:rsidRPr="00684625">
        <w:rPr>
          <w:rFonts w:ascii="Times New Roman" w:hAnsi="Times New Roman"/>
        </w:rPr>
        <w:t>Konstrukcja jezdni</w:t>
      </w:r>
      <w:r>
        <w:rPr>
          <w:rFonts w:ascii="Times New Roman" w:hAnsi="Times New Roman"/>
        </w:rPr>
        <w:t>:</w:t>
      </w:r>
    </w:p>
    <w:p w:rsidR="001966FC" w:rsidRPr="00684625" w:rsidRDefault="001966FC" w:rsidP="00607020">
      <w:pPr>
        <w:pStyle w:val="Bezodstpw"/>
        <w:numPr>
          <w:ilvl w:val="0"/>
          <w:numId w:val="128"/>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Warstwa wi</w:t>
      </w:r>
      <w:r w:rsidRPr="00684625">
        <w:rPr>
          <w:rFonts w:ascii="Times New Roman" w:eastAsia="ArialMT" w:hAnsi="Times New Roman"/>
        </w:rPr>
        <w:t>ążą</w:t>
      </w:r>
      <w:r w:rsidRPr="00684625">
        <w:rPr>
          <w:rFonts w:ascii="Times New Roman" w:eastAsiaTheme="minorHAnsi" w:hAnsi="Times New Roman"/>
        </w:rPr>
        <w:t xml:space="preserve">ca AC 11W wg WT2 2010r gr. </w:t>
      </w:r>
      <w:r>
        <w:rPr>
          <w:rFonts w:ascii="Times New Roman" w:eastAsiaTheme="minorHAnsi" w:hAnsi="Times New Roman"/>
        </w:rPr>
        <w:t>5</w:t>
      </w:r>
      <w:r w:rsidRPr="00684625">
        <w:rPr>
          <w:rFonts w:ascii="Times New Roman" w:eastAsiaTheme="minorHAnsi" w:hAnsi="Times New Roman"/>
        </w:rPr>
        <w:t xml:space="preserve"> cm;</w:t>
      </w:r>
    </w:p>
    <w:p w:rsidR="001966FC" w:rsidRPr="001966FC" w:rsidRDefault="001966FC" w:rsidP="00607020">
      <w:pPr>
        <w:pStyle w:val="Bezodstpw"/>
        <w:numPr>
          <w:ilvl w:val="0"/>
          <w:numId w:val="128"/>
        </w:numPr>
        <w:spacing w:line="276" w:lineRule="auto"/>
        <w:ind w:left="851" w:hanging="284"/>
        <w:jc w:val="both"/>
        <w:rPr>
          <w:rFonts w:ascii="Times New Roman" w:eastAsiaTheme="minorEastAsia" w:hAnsi="Times New Roman"/>
        </w:rPr>
      </w:pPr>
      <w:r w:rsidRPr="00684625">
        <w:rPr>
          <w:rFonts w:ascii="Times New Roman" w:eastAsiaTheme="minorHAnsi" w:hAnsi="Times New Roman"/>
        </w:rPr>
        <w:t>Warstwa podbudow</w:t>
      </w:r>
      <w:r>
        <w:rPr>
          <w:rFonts w:ascii="Times New Roman" w:eastAsiaTheme="minorHAnsi" w:hAnsi="Times New Roman"/>
        </w:rPr>
        <w:t>a</w:t>
      </w:r>
      <w:r w:rsidRPr="00684625">
        <w:rPr>
          <w:rFonts w:ascii="Times New Roman" w:eastAsiaTheme="minorHAnsi" w:hAnsi="Times New Roman"/>
        </w:rPr>
        <w:t xml:space="preserve"> zasadnicza </w:t>
      </w:r>
      <w:r>
        <w:rPr>
          <w:rFonts w:ascii="Times New Roman" w:eastAsiaTheme="minorHAnsi" w:hAnsi="Times New Roman"/>
        </w:rPr>
        <w:t xml:space="preserve">z mieszanki niezwiązanej z </w:t>
      </w:r>
      <w:r w:rsidRPr="00684625">
        <w:rPr>
          <w:rFonts w:ascii="Times New Roman" w:eastAsiaTheme="minorHAnsi" w:hAnsi="Times New Roman"/>
        </w:rPr>
        <w:t xml:space="preserve">kruszywa </w:t>
      </w:r>
      <w:r w:rsidRPr="00684625">
        <w:rPr>
          <w:rFonts w:ascii="Times New Roman" w:eastAsia="ArialMT" w:hAnsi="Times New Roman"/>
        </w:rPr>
        <w:t>ł</w:t>
      </w:r>
      <w:r w:rsidRPr="00684625">
        <w:rPr>
          <w:rFonts w:ascii="Times New Roman" w:eastAsiaTheme="minorHAnsi" w:hAnsi="Times New Roman"/>
        </w:rPr>
        <w:t>amanego stabilizowanego mechanicznie 0/31,5 wg WT 4 2010r E</w:t>
      </w:r>
      <w:r w:rsidRPr="00684625">
        <w:rPr>
          <w:rFonts w:ascii="Times New Roman" w:eastAsiaTheme="minorHAnsi" w:hAnsi="Times New Roman"/>
          <w:vertAlign w:val="subscript"/>
        </w:rPr>
        <w:t>2</w:t>
      </w:r>
      <w:r w:rsidRPr="00684625">
        <w:rPr>
          <w:rFonts w:ascii="Times New Roman" w:eastAsiaTheme="minorHAnsi" w:hAnsi="Times New Roman"/>
        </w:rPr>
        <w:t xml:space="preserve"> powy</w:t>
      </w:r>
      <w:r w:rsidRPr="00684625">
        <w:rPr>
          <w:rFonts w:ascii="Times New Roman" w:eastAsia="ArialMT" w:hAnsi="Times New Roman"/>
        </w:rPr>
        <w:t>ż</w:t>
      </w:r>
      <w:r w:rsidRPr="00684625">
        <w:rPr>
          <w:rFonts w:ascii="Times New Roman" w:eastAsiaTheme="minorHAnsi" w:hAnsi="Times New Roman"/>
        </w:rPr>
        <w:t>ej 1</w:t>
      </w:r>
      <w:r>
        <w:rPr>
          <w:rFonts w:ascii="Times New Roman" w:eastAsiaTheme="minorHAnsi" w:hAnsi="Times New Roman"/>
        </w:rPr>
        <w:t>0</w:t>
      </w:r>
      <w:r w:rsidRPr="00684625">
        <w:rPr>
          <w:rFonts w:ascii="Times New Roman" w:eastAsiaTheme="minorHAnsi" w:hAnsi="Times New Roman"/>
        </w:rPr>
        <w:t>0 MPA I</w:t>
      </w:r>
      <w:r w:rsidRPr="00684625">
        <w:rPr>
          <w:rFonts w:ascii="Times New Roman" w:eastAsiaTheme="minorHAnsi" w:hAnsi="Times New Roman"/>
          <w:vertAlign w:val="subscript"/>
        </w:rPr>
        <w:t>0</w:t>
      </w:r>
      <w:r w:rsidRPr="00684625">
        <w:rPr>
          <w:rFonts w:ascii="Times New Roman" w:eastAsiaTheme="minorHAnsi" w:hAnsi="Times New Roman"/>
        </w:rPr>
        <w:t xml:space="preserve"> mniejsze od 2,2</w:t>
      </w:r>
      <w:r>
        <w:rPr>
          <w:rFonts w:ascii="Times New Roman" w:eastAsiaTheme="minorHAnsi" w:hAnsi="Times New Roman"/>
        </w:rPr>
        <w:t xml:space="preserve"> o grubości 15 cm</w:t>
      </w:r>
      <w:r w:rsidRPr="00684625">
        <w:rPr>
          <w:rFonts w:ascii="Times New Roman" w:eastAsiaTheme="minorHAnsi" w:hAnsi="Times New Roman"/>
        </w:rPr>
        <w:t xml:space="preserve"> ;</w:t>
      </w:r>
    </w:p>
    <w:p w:rsidR="001966FC" w:rsidRPr="001966FC" w:rsidRDefault="001966FC" w:rsidP="00607020">
      <w:pPr>
        <w:pStyle w:val="Akapitzlist"/>
        <w:numPr>
          <w:ilvl w:val="0"/>
          <w:numId w:val="128"/>
        </w:numPr>
        <w:ind w:left="851" w:hanging="284"/>
      </w:pPr>
      <w:r w:rsidRPr="001966FC">
        <w:t>Istniejące profilowan</w:t>
      </w:r>
      <w:r>
        <w:t>a</w:t>
      </w:r>
      <w:r w:rsidRPr="001966FC">
        <w:t xml:space="preserve"> i zagęszczon</w:t>
      </w:r>
      <w:r>
        <w:t>a</w:t>
      </w:r>
      <w:r w:rsidRPr="001966FC">
        <w:t xml:space="preserve"> </w:t>
      </w:r>
      <w:r>
        <w:t>podbudowa</w:t>
      </w:r>
      <w:r w:rsidRPr="001966FC">
        <w:t>.</w:t>
      </w:r>
    </w:p>
    <w:p w:rsidR="001966FC" w:rsidRPr="00684625" w:rsidRDefault="001966FC" w:rsidP="00607020">
      <w:pPr>
        <w:pStyle w:val="Bezodstpw"/>
        <w:numPr>
          <w:ilvl w:val="0"/>
          <w:numId w:val="127"/>
        </w:numPr>
        <w:spacing w:line="276" w:lineRule="auto"/>
        <w:ind w:left="567" w:hanging="283"/>
        <w:jc w:val="both"/>
        <w:rPr>
          <w:rFonts w:ascii="Times New Roman" w:eastAsiaTheme="minorHAnsi" w:hAnsi="Times New Roman"/>
        </w:rPr>
      </w:pPr>
      <w:r w:rsidRPr="00684625">
        <w:rPr>
          <w:rFonts w:ascii="Times New Roman" w:eastAsiaTheme="minorHAnsi" w:hAnsi="Times New Roman"/>
        </w:rPr>
        <w:t>Konstrukcja zjazdu.</w:t>
      </w:r>
    </w:p>
    <w:p w:rsidR="001966FC" w:rsidRPr="00684625" w:rsidRDefault="001966FC" w:rsidP="00607020">
      <w:pPr>
        <w:pStyle w:val="Bezodstpw"/>
        <w:numPr>
          <w:ilvl w:val="0"/>
          <w:numId w:val="129"/>
        </w:numPr>
        <w:spacing w:line="276" w:lineRule="auto"/>
        <w:ind w:left="851" w:hanging="284"/>
        <w:jc w:val="both"/>
        <w:rPr>
          <w:rFonts w:ascii="Times New Roman" w:eastAsiaTheme="minorHAnsi" w:hAnsi="Times New Roman"/>
        </w:rPr>
      </w:pPr>
      <w:r w:rsidRPr="00684625">
        <w:rPr>
          <w:rFonts w:ascii="Times New Roman" w:eastAsiaTheme="minorHAnsi" w:hAnsi="Times New Roman"/>
        </w:rPr>
        <w:t xml:space="preserve">Warstwa </w:t>
      </w:r>
      <w:r w:rsidRPr="00684625">
        <w:rPr>
          <w:rFonts w:ascii="Times New Roman" w:eastAsia="ArialMT" w:hAnsi="Times New Roman"/>
        </w:rPr>
        <w:t>ś</w:t>
      </w:r>
      <w:r w:rsidRPr="00684625">
        <w:rPr>
          <w:rFonts w:ascii="Times New Roman" w:eastAsiaTheme="minorHAnsi" w:hAnsi="Times New Roman"/>
        </w:rPr>
        <w:t xml:space="preserve">cieralna AC 11S wg WT2 2010r gr </w:t>
      </w:r>
      <w:r>
        <w:rPr>
          <w:rFonts w:ascii="Times New Roman" w:eastAsiaTheme="minorHAnsi" w:hAnsi="Times New Roman"/>
        </w:rPr>
        <w:t>5</w:t>
      </w:r>
      <w:r w:rsidRPr="00684625">
        <w:rPr>
          <w:rFonts w:ascii="Times New Roman" w:eastAsiaTheme="minorHAnsi" w:hAnsi="Times New Roman"/>
        </w:rPr>
        <w:t xml:space="preserve"> cm;</w:t>
      </w:r>
    </w:p>
    <w:p w:rsidR="001966FC" w:rsidRPr="00684625" w:rsidRDefault="001966FC" w:rsidP="00607020">
      <w:pPr>
        <w:pStyle w:val="Bezodstpw"/>
        <w:numPr>
          <w:ilvl w:val="0"/>
          <w:numId w:val="129"/>
        </w:numPr>
        <w:spacing w:line="276" w:lineRule="auto"/>
        <w:ind w:left="851" w:hanging="284"/>
        <w:jc w:val="both"/>
        <w:rPr>
          <w:rFonts w:ascii="Times New Roman" w:eastAsiaTheme="minorHAnsi" w:hAnsi="Times New Roman"/>
        </w:rPr>
      </w:pPr>
      <w:r>
        <w:rPr>
          <w:rFonts w:ascii="Times New Roman" w:eastAsiaTheme="minorHAnsi" w:hAnsi="Times New Roman"/>
        </w:rPr>
        <w:t>Górna w</w:t>
      </w:r>
      <w:r w:rsidRPr="00684625">
        <w:rPr>
          <w:rFonts w:ascii="Times New Roman" w:eastAsiaTheme="minorHAnsi" w:hAnsi="Times New Roman"/>
        </w:rPr>
        <w:t>arstwa podbudow</w:t>
      </w:r>
      <w:r>
        <w:rPr>
          <w:rFonts w:ascii="Times New Roman" w:eastAsiaTheme="minorHAnsi" w:hAnsi="Times New Roman"/>
        </w:rPr>
        <w:t>a</w:t>
      </w:r>
      <w:r w:rsidRPr="00684625">
        <w:rPr>
          <w:rFonts w:ascii="Times New Roman" w:eastAsiaTheme="minorHAnsi" w:hAnsi="Times New Roman"/>
        </w:rPr>
        <w:t xml:space="preserve"> zasadnicza z mieszanki niezwi</w:t>
      </w:r>
      <w:r w:rsidRPr="00684625">
        <w:rPr>
          <w:rFonts w:ascii="Times New Roman" w:eastAsia="ArialMT" w:hAnsi="Times New Roman"/>
        </w:rPr>
        <w:t>ą</w:t>
      </w:r>
      <w:r w:rsidRPr="00684625">
        <w:rPr>
          <w:rFonts w:ascii="Times New Roman" w:eastAsiaTheme="minorHAnsi" w:hAnsi="Times New Roman"/>
        </w:rPr>
        <w:t xml:space="preserve">zanej z kruszywa </w:t>
      </w:r>
      <w:r w:rsidRPr="00684625">
        <w:rPr>
          <w:rFonts w:ascii="Times New Roman" w:eastAsia="ArialMT" w:hAnsi="Times New Roman"/>
        </w:rPr>
        <w:t>ł</w:t>
      </w:r>
      <w:r w:rsidRPr="00684625">
        <w:rPr>
          <w:rFonts w:ascii="Times New Roman" w:eastAsiaTheme="minorHAnsi" w:hAnsi="Times New Roman"/>
        </w:rPr>
        <w:t>amanego stabilizowanego mechanicznie 0/31,5 wg WT 4 2010r E</w:t>
      </w:r>
      <w:r w:rsidRPr="00684625">
        <w:rPr>
          <w:rFonts w:ascii="Times New Roman" w:eastAsiaTheme="minorHAnsi" w:hAnsi="Times New Roman"/>
          <w:vertAlign w:val="subscript"/>
        </w:rPr>
        <w:t>2</w:t>
      </w:r>
      <w:r w:rsidRPr="00684625">
        <w:rPr>
          <w:rFonts w:ascii="Times New Roman" w:eastAsiaTheme="minorHAnsi" w:hAnsi="Times New Roman"/>
        </w:rPr>
        <w:t xml:space="preserve"> powy</w:t>
      </w:r>
      <w:r w:rsidRPr="00684625">
        <w:rPr>
          <w:rFonts w:ascii="Times New Roman" w:eastAsia="ArialMT" w:hAnsi="Times New Roman"/>
        </w:rPr>
        <w:t>ż</w:t>
      </w:r>
      <w:r w:rsidRPr="00684625">
        <w:rPr>
          <w:rFonts w:ascii="Times New Roman" w:eastAsiaTheme="minorHAnsi" w:hAnsi="Times New Roman"/>
        </w:rPr>
        <w:t>ej 1</w:t>
      </w:r>
      <w:r>
        <w:rPr>
          <w:rFonts w:ascii="Times New Roman" w:eastAsiaTheme="minorHAnsi" w:hAnsi="Times New Roman"/>
        </w:rPr>
        <w:t>0</w:t>
      </w:r>
      <w:r w:rsidRPr="00684625">
        <w:rPr>
          <w:rFonts w:ascii="Times New Roman" w:eastAsiaTheme="minorHAnsi" w:hAnsi="Times New Roman"/>
        </w:rPr>
        <w:t>0 MPA I</w:t>
      </w:r>
      <w:r w:rsidRPr="00684625">
        <w:rPr>
          <w:rFonts w:ascii="Times New Roman" w:eastAsiaTheme="minorHAnsi" w:hAnsi="Times New Roman"/>
          <w:vertAlign w:val="subscript"/>
        </w:rPr>
        <w:t>0</w:t>
      </w:r>
      <w:r w:rsidRPr="00684625">
        <w:rPr>
          <w:rFonts w:ascii="Times New Roman" w:eastAsiaTheme="minorHAnsi" w:hAnsi="Times New Roman"/>
        </w:rPr>
        <w:t xml:space="preserve"> mniejsze od 2,2</w:t>
      </w:r>
      <w:r>
        <w:rPr>
          <w:rFonts w:ascii="Times New Roman" w:eastAsiaTheme="minorHAnsi" w:hAnsi="Times New Roman"/>
        </w:rPr>
        <w:t xml:space="preserve"> o grubości 8 cm</w:t>
      </w:r>
      <w:r w:rsidRPr="00684625">
        <w:rPr>
          <w:rFonts w:ascii="Times New Roman" w:eastAsiaTheme="minorHAnsi" w:hAnsi="Times New Roman"/>
        </w:rPr>
        <w:t>;</w:t>
      </w:r>
    </w:p>
    <w:p w:rsidR="001966FC" w:rsidRDefault="001966FC" w:rsidP="00607020">
      <w:pPr>
        <w:pStyle w:val="Akapitzlist"/>
        <w:numPr>
          <w:ilvl w:val="0"/>
          <w:numId w:val="129"/>
        </w:numPr>
        <w:ind w:left="851" w:hanging="284"/>
        <w:rPr>
          <w:rFonts w:eastAsiaTheme="minorHAnsi"/>
        </w:rPr>
      </w:pPr>
      <w:r>
        <w:rPr>
          <w:rFonts w:eastAsiaTheme="minorHAnsi"/>
        </w:rPr>
        <w:t>Dolna</w:t>
      </w:r>
      <w:r w:rsidRPr="00425457">
        <w:rPr>
          <w:rFonts w:eastAsiaTheme="minorHAnsi"/>
        </w:rPr>
        <w:t xml:space="preserve"> warstwa podbudowa zasadnicza z mieszanki niezwiązanej z kruszywa łamanego stabilizowanego mechanicznie 0/31,5 wg WT 4 2010r E2 powyżej 100 MPA I0 mniejsze od 2,2 o grubości </w:t>
      </w:r>
      <w:r>
        <w:rPr>
          <w:rFonts w:eastAsiaTheme="minorHAnsi"/>
        </w:rPr>
        <w:t>15</w:t>
      </w:r>
      <w:r w:rsidRPr="00425457">
        <w:rPr>
          <w:rFonts w:eastAsiaTheme="minorHAnsi"/>
        </w:rPr>
        <w:t xml:space="preserve"> cm;</w:t>
      </w:r>
    </w:p>
    <w:p w:rsidR="001966FC" w:rsidRPr="00425457" w:rsidRDefault="001966FC" w:rsidP="00607020">
      <w:pPr>
        <w:pStyle w:val="Akapitzlist"/>
        <w:numPr>
          <w:ilvl w:val="0"/>
          <w:numId w:val="129"/>
        </w:numPr>
        <w:ind w:left="851" w:hanging="284"/>
        <w:rPr>
          <w:rFonts w:eastAsiaTheme="minorHAnsi"/>
        </w:rPr>
      </w:pPr>
      <w:r>
        <w:rPr>
          <w:rFonts w:eastAsiaTheme="minorHAnsi"/>
        </w:rPr>
        <w:t>Warstwa odsączająca z piasku o grubości 10 cm.</w:t>
      </w:r>
    </w:p>
    <w:p w:rsidR="001966FC" w:rsidRPr="00684625" w:rsidRDefault="001966FC" w:rsidP="00607020">
      <w:pPr>
        <w:pStyle w:val="Bezodstpw"/>
        <w:numPr>
          <w:ilvl w:val="0"/>
          <w:numId w:val="129"/>
        </w:numPr>
        <w:spacing w:line="276" w:lineRule="auto"/>
        <w:ind w:left="851" w:hanging="284"/>
        <w:jc w:val="both"/>
        <w:rPr>
          <w:rFonts w:ascii="Times New Roman" w:hAnsi="Times New Roman"/>
        </w:rPr>
      </w:pPr>
      <w:bookmarkStart w:id="3" w:name="_Hlk4430747"/>
      <w:r>
        <w:rPr>
          <w:rFonts w:ascii="Times New Roman" w:eastAsiaTheme="minorHAnsi" w:hAnsi="Times New Roman"/>
        </w:rPr>
        <w:t xml:space="preserve">Istniejące </w:t>
      </w:r>
      <w:r w:rsidRPr="00684625">
        <w:rPr>
          <w:rFonts w:ascii="Times New Roman" w:eastAsiaTheme="minorHAnsi" w:hAnsi="Times New Roman"/>
        </w:rPr>
        <w:t>profilowane i zag</w:t>
      </w:r>
      <w:r w:rsidRPr="00684625">
        <w:rPr>
          <w:rFonts w:ascii="Times New Roman" w:eastAsia="ArialMT" w:hAnsi="Times New Roman"/>
        </w:rPr>
        <w:t>ę</w:t>
      </w:r>
      <w:r w:rsidRPr="00684625">
        <w:rPr>
          <w:rFonts w:ascii="Times New Roman" w:eastAsiaTheme="minorHAnsi" w:hAnsi="Times New Roman"/>
        </w:rPr>
        <w:t>szczone pod</w:t>
      </w:r>
      <w:r w:rsidRPr="00684625">
        <w:rPr>
          <w:rFonts w:ascii="Times New Roman" w:eastAsia="ArialMT" w:hAnsi="Times New Roman"/>
        </w:rPr>
        <w:t>łoż</w:t>
      </w:r>
      <w:r w:rsidRPr="00684625">
        <w:rPr>
          <w:rFonts w:ascii="Times New Roman" w:eastAsiaTheme="minorHAnsi" w:hAnsi="Times New Roman"/>
        </w:rPr>
        <w:t>e gruntowe.</w:t>
      </w:r>
    </w:p>
    <w:bookmarkEnd w:id="3"/>
    <w:p w:rsidR="003136A1" w:rsidRPr="00F411FB" w:rsidRDefault="003136A1" w:rsidP="003136A1">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 xml:space="preserve">Każdy wykonawca ma prawo zapoznać się z zakresem prac w terenie, zgodnie z SIWZ wraz z załącznikami. Zamawiający zaleca, aby Wykonawca dokonał wizji lokalnej miejsca realizacji </w:t>
      </w:r>
      <w:r w:rsidRPr="00F411FB">
        <w:rPr>
          <w:rStyle w:val="FontStyle77"/>
          <w:sz w:val="24"/>
          <w:szCs w:val="24"/>
        </w:rPr>
        <w:lastRenderedPageBreak/>
        <w:t>zamówienia, zapoznał się z warunkami terenowymi planowanych robót budowlanych, aby uzyskać informacje, które mogą być konieczne do przygotowania oferty oraz zawarcia umowy i wykonania zamówienia. Koszty dokonania wizji lokalnej poniesie Wykonawca.</w:t>
      </w:r>
    </w:p>
    <w:p w:rsidR="003136A1" w:rsidRPr="003238D6" w:rsidRDefault="003136A1" w:rsidP="003136A1">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3136A1" w:rsidRPr="003238D6" w:rsidRDefault="003136A1" w:rsidP="00C43B78">
      <w:pPr>
        <w:pStyle w:val="Style30"/>
        <w:widowControl/>
        <w:numPr>
          <w:ilvl w:val="0"/>
          <w:numId w:val="96"/>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3136A1" w:rsidRDefault="003136A1" w:rsidP="00C43B78">
      <w:pPr>
        <w:pStyle w:val="Style22"/>
        <w:widowControl/>
        <w:numPr>
          <w:ilvl w:val="0"/>
          <w:numId w:val="96"/>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3136A1" w:rsidRPr="00F411FB" w:rsidRDefault="003136A1" w:rsidP="00C43B78">
      <w:pPr>
        <w:pStyle w:val="Style26"/>
        <w:widowControl/>
        <w:numPr>
          <w:ilvl w:val="0"/>
          <w:numId w:val="96"/>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3136A1" w:rsidRPr="00401FC8" w:rsidRDefault="003136A1" w:rsidP="00C43B78">
      <w:pPr>
        <w:pStyle w:val="Style26"/>
        <w:widowControl/>
        <w:numPr>
          <w:ilvl w:val="0"/>
          <w:numId w:val="96"/>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3136A1" w:rsidRPr="00EA620C" w:rsidRDefault="003136A1" w:rsidP="00C43B78">
      <w:pPr>
        <w:pStyle w:val="Style26"/>
        <w:widowControl/>
        <w:numPr>
          <w:ilvl w:val="0"/>
          <w:numId w:val="96"/>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1) przed rozpoczęciem robót:</w:t>
      </w:r>
    </w:p>
    <w:p w:rsidR="003136A1" w:rsidRDefault="003136A1" w:rsidP="003136A1">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3136A1" w:rsidRPr="00065117" w:rsidRDefault="003136A1" w:rsidP="003136A1">
      <w:pPr>
        <w:pStyle w:val="Akapitzlist"/>
        <w:numPr>
          <w:ilvl w:val="0"/>
          <w:numId w:val="111"/>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3136A1" w:rsidRPr="00065117" w:rsidRDefault="003136A1" w:rsidP="003136A1">
      <w:pPr>
        <w:pStyle w:val="Akapitzlist"/>
        <w:numPr>
          <w:ilvl w:val="0"/>
          <w:numId w:val="111"/>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3136A1" w:rsidRPr="00065117" w:rsidRDefault="003136A1" w:rsidP="003136A1">
      <w:pPr>
        <w:pStyle w:val="Akapitzlist"/>
        <w:numPr>
          <w:ilvl w:val="0"/>
          <w:numId w:val="111"/>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 xml:space="preserve">cej bezpieczeństwa i ochrony zdrowia oraz </w:t>
      </w:r>
      <w:r w:rsidRPr="00065117">
        <w:rPr>
          <w:noProof/>
          <w:color w:val="000000"/>
        </w:rPr>
        <w:lastRenderedPageBreak/>
        <w:t>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2) w trakcie trwania robót:</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3136A1" w:rsidRPr="00324656" w:rsidRDefault="003136A1" w:rsidP="003136A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3136A1" w:rsidRPr="00324656" w:rsidRDefault="003136A1" w:rsidP="003136A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3136A1" w:rsidRPr="00324656" w:rsidRDefault="003136A1" w:rsidP="003136A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lastRenderedPageBreak/>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3136A1" w:rsidRPr="00A81A37"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3136A1" w:rsidRPr="00380F35" w:rsidRDefault="003136A1" w:rsidP="003136A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3136A1" w:rsidRPr="00324656" w:rsidRDefault="003136A1" w:rsidP="00C43B78">
      <w:pPr>
        <w:pStyle w:val="Stopka"/>
        <w:numPr>
          <w:ilvl w:val="0"/>
          <w:numId w:val="64"/>
        </w:numPr>
        <w:tabs>
          <w:tab w:val="clear" w:pos="4536"/>
          <w:tab w:val="clear" w:pos="9072"/>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w:t>
      </w:r>
      <w:r w:rsidRPr="00324656">
        <w:rPr>
          <w:rFonts w:ascii="Times New Roman" w:hAnsi="Times New Roman"/>
          <w:sz w:val="24"/>
        </w:rPr>
        <w:lastRenderedPageBreak/>
        <w:t xml:space="preserve">parametrów technicznych nie gorszych od założonych w dokumentacji projektowej, specyfikacji technicznej wykonania i odbioru oraz przedmiarze robót. </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3136A1" w:rsidRPr="00245F2E"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3136A1" w:rsidRPr="003238D6" w:rsidRDefault="003136A1" w:rsidP="003136A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3136A1" w:rsidRPr="00BB128E" w:rsidRDefault="003136A1" w:rsidP="003136A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 xml:space="preserve">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w:t>
      </w:r>
      <w:r w:rsidRPr="003238D6">
        <w:rPr>
          <w:bCs/>
          <w:u w:color="0000E9"/>
        </w:rPr>
        <w:lastRenderedPageBreak/>
        <w:t>o których mowa w art., 30b ust. 1, że obiekt budowlany, dostawa lub usługa, spełniają wymagania dotyczące wydajności lub funkcjonalności określone przez zamawiającego.</w:t>
      </w:r>
    </w:p>
    <w:p w:rsidR="003136A1" w:rsidRPr="00BB128E" w:rsidRDefault="003136A1" w:rsidP="003136A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3136A1" w:rsidRPr="00BB128E" w:rsidRDefault="003136A1" w:rsidP="003136A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3136A1" w:rsidRPr="00BB128E" w:rsidRDefault="003136A1" w:rsidP="003136A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 xml:space="preserve">.1 czynności zamawiający przewiduje sankcję w postaci obowiązku zapłaty przez wykonawcę kary </w:t>
      </w:r>
      <w:r w:rsidRPr="00BB128E">
        <w:rPr>
          <w:rStyle w:val="FontStyle44"/>
          <w:sz w:val="24"/>
          <w:szCs w:val="24"/>
        </w:rPr>
        <w:lastRenderedPageBreak/>
        <w:t>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3136A1" w:rsidRPr="00401FC8" w:rsidRDefault="003136A1" w:rsidP="003136A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3136A1" w:rsidRPr="00401FC8" w:rsidRDefault="003136A1" w:rsidP="003136A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3136A1" w:rsidRPr="00401FC8" w:rsidRDefault="003136A1" w:rsidP="003136A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3136A1" w:rsidRDefault="003136A1" w:rsidP="003136A1">
      <w:pPr>
        <w:pStyle w:val="Akapitzlist"/>
        <w:numPr>
          <w:ilvl w:val="0"/>
          <w:numId w:val="95"/>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3136A1" w:rsidRDefault="003136A1" w:rsidP="003136A1">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 xml:space="preserve">Wspólny słownik zamówień: CPV: </w:t>
      </w:r>
    </w:p>
    <w:p w:rsidR="003136A1" w:rsidRDefault="003136A1" w:rsidP="003136A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501A0E" w:rsidRPr="00D44B9F" w:rsidRDefault="00501A0E" w:rsidP="002C2827">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002C2827" w:rsidRPr="00D44B9F">
        <w:rPr>
          <w:rFonts w:ascii="Times New Roman" w:hAnsi="Times New Roman"/>
          <w:b/>
        </w:rPr>
        <w:tab/>
      </w:r>
      <w:r w:rsidRPr="00D44B9F">
        <w:rPr>
          <w:rFonts w:ascii="Times New Roman" w:hAnsi="Times New Roman"/>
          <w:b/>
        </w:rPr>
        <w:t xml:space="preserve">Oferty </w:t>
      </w:r>
      <w:r w:rsidR="002C2827" w:rsidRPr="00D44B9F">
        <w:rPr>
          <w:rFonts w:ascii="Times New Roman" w:hAnsi="Times New Roman"/>
          <w:b/>
        </w:rPr>
        <w:t>częściowe</w:t>
      </w:r>
      <w:r w:rsidRPr="00D44B9F">
        <w:rPr>
          <w:rFonts w:ascii="Times New Roman" w:hAnsi="Times New Roman"/>
          <w:b/>
        </w:rPr>
        <w:t>.</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C0E7F">
        <w:rPr>
          <w:rFonts w:ascii="Times New Roman" w:hAnsi="Times New Roman"/>
        </w:rPr>
        <w:t>dwie</w:t>
      </w:r>
      <w:r w:rsidRPr="002C2827">
        <w:rPr>
          <w:rFonts w:ascii="Times New Roman" w:hAnsi="Times New Roman"/>
        </w:rPr>
        <w:t xml:space="preserve"> części.</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Wykonawca może złożyć ofertę na jedną lub </w:t>
      </w:r>
      <w:r>
        <w:rPr>
          <w:rFonts w:ascii="Times New Roman" w:hAnsi="Times New Roman"/>
        </w:rPr>
        <w:t>wszystkie</w:t>
      </w:r>
      <w:r w:rsidRPr="002C2827">
        <w:rPr>
          <w:rFonts w:ascii="Times New Roman" w:hAnsi="Times New Roman"/>
        </w:rPr>
        <w:t xml:space="preserve"> części zamówienia.</w:t>
      </w:r>
    </w:p>
    <w:p w:rsidR="002C2827" w:rsidRPr="002C2827" w:rsidRDefault="002C2827" w:rsidP="00122A05">
      <w:pPr>
        <w:pStyle w:val="Bezodstpw"/>
        <w:numPr>
          <w:ilvl w:val="0"/>
          <w:numId w:val="112"/>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C0E7F">
        <w:rPr>
          <w:rFonts w:ascii="Times New Roman" w:hAnsi="Times New Roman"/>
        </w:rPr>
        <w:t>2</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005597" w:rsidRPr="00D44B9F" w:rsidRDefault="00501A0E" w:rsidP="00380F35">
      <w:pPr>
        <w:spacing w:line="276" w:lineRule="auto"/>
        <w:jc w:val="both"/>
      </w:pPr>
      <w:r w:rsidRPr="00D44B9F">
        <w:t xml:space="preserve">Wykonawca zrealizuje przedmiot zamówienia w terminie do dnia </w:t>
      </w:r>
      <w:r w:rsidR="003C0E7F">
        <w:t>31</w:t>
      </w:r>
      <w:r w:rsidRPr="00D44B9F">
        <w:t xml:space="preserve"> </w:t>
      </w:r>
      <w:r w:rsidR="003C0E7F">
        <w:t>sierpnia</w:t>
      </w:r>
      <w:r w:rsidRPr="00D44B9F">
        <w:t xml:space="preserve"> </w:t>
      </w:r>
      <w:r w:rsidR="00380F35" w:rsidRPr="00D44B9F">
        <w:t>2</w:t>
      </w:r>
      <w:r w:rsidRPr="00D44B9F">
        <w:t>01</w:t>
      </w:r>
      <w:r w:rsidR="0056182C">
        <w:t>9</w:t>
      </w:r>
      <w:r w:rsidR="002C2827" w:rsidRPr="00D44B9F">
        <w:t xml:space="preserve"> r.. Termin wykonania jest jednakowy dla każdej z części</w:t>
      </w:r>
      <w:r w:rsidR="00D44B9F" w:rsidRPr="00D44B9F">
        <w:t xml:space="preserve"> zamówienia</w:t>
      </w:r>
      <w:r w:rsidRPr="00D44B9F">
        <w:t xml:space="preserve"> </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D44B9F" w:rsidRPr="00D44B9F" w:rsidRDefault="00D44B9F" w:rsidP="00122A05">
      <w:pPr>
        <w:pStyle w:val="Akapitzlist"/>
        <w:numPr>
          <w:ilvl w:val="0"/>
          <w:numId w:val="113"/>
        </w:numPr>
        <w:spacing w:line="276" w:lineRule="auto"/>
        <w:ind w:left="567" w:hanging="283"/>
        <w:jc w:val="both"/>
      </w:pPr>
      <w:r>
        <w:t xml:space="preserve">Dla </w:t>
      </w:r>
      <w:r w:rsidRPr="00D44B9F">
        <w:t xml:space="preserve">część I zamówienia: Przebudowa drogi gminnej </w:t>
      </w:r>
      <w:r w:rsidR="0056182C">
        <w:t>Białowieżyn</w:t>
      </w:r>
      <w:r w:rsidR="0056182C" w:rsidRPr="00D44B9F">
        <w:t xml:space="preserve"> - </w:t>
      </w:r>
      <w:r w:rsidR="0056182C">
        <w:t>Kłokock</w:t>
      </w:r>
      <w:r w:rsidR="0056182C" w:rsidRPr="00D44B9F">
        <w:t xml:space="preserve"> nr 1705</w:t>
      </w:r>
      <w:r w:rsidR="0056182C">
        <w:t>22</w:t>
      </w:r>
      <w:r w:rsidR="0056182C" w:rsidRPr="00D44B9F">
        <w:t xml:space="preserve"> C</w:t>
      </w:r>
      <w:r w:rsidR="0056182C">
        <w:t xml:space="preserve"> </w:t>
      </w:r>
      <w:r w:rsidR="00C43B78">
        <w:t>etap I</w:t>
      </w:r>
      <w:r w:rsidR="0056182C">
        <w:t>I</w:t>
      </w:r>
      <w:r>
        <w:t xml:space="preserve"> w wysokości – </w:t>
      </w:r>
      <w:r w:rsidR="004C0026" w:rsidRPr="004C0026">
        <w:t>10</w:t>
      </w:r>
      <w:r w:rsidRPr="004C0026">
        <w:t> 000,00 PLN</w:t>
      </w:r>
    </w:p>
    <w:p w:rsidR="00D44B9F" w:rsidRPr="00607020" w:rsidRDefault="00D44B9F" w:rsidP="00122A05">
      <w:pPr>
        <w:pStyle w:val="Akapitzlist"/>
        <w:numPr>
          <w:ilvl w:val="0"/>
          <w:numId w:val="113"/>
        </w:numPr>
        <w:spacing w:line="276" w:lineRule="auto"/>
        <w:ind w:left="567" w:hanging="283"/>
        <w:jc w:val="both"/>
      </w:pPr>
      <w:r w:rsidRPr="00607020">
        <w:t>Dla część II zamówienia:</w:t>
      </w:r>
      <w:r w:rsidRPr="00607020">
        <w:rPr>
          <w:rFonts w:eastAsiaTheme="minorHAnsi"/>
          <w:lang w:eastAsia="en-US"/>
        </w:rPr>
        <w:t xml:space="preserve"> </w:t>
      </w:r>
      <w:r w:rsidR="00C43B78" w:rsidRPr="00607020">
        <w:t xml:space="preserve">Przebudowa drogi gminnej </w:t>
      </w:r>
      <w:r w:rsidR="0056182C" w:rsidRPr="00607020">
        <w:t xml:space="preserve">Białowieżyn - Kłokock nr 170522 C </w:t>
      </w:r>
      <w:r w:rsidR="00C43B78" w:rsidRPr="00607020">
        <w:t>etap II</w:t>
      </w:r>
      <w:r w:rsidR="0056182C" w:rsidRPr="00607020">
        <w:t>I</w:t>
      </w:r>
      <w:r w:rsidRPr="00607020">
        <w:rPr>
          <w:rFonts w:eastAsiaTheme="minorHAnsi"/>
          <w:lang w:eastAsia="en-US"/>
        </w:rPr>
        <w:t xml:space="preserve"> w wysokości – </w:t>
      </w:r>
      <w:r w:rsidR="004C0026" w:rsidRPr="00607020">
        <w:rPr>
          <w:rFonts w:eastAsiaTheme="minorHAnsi"/>
          <w:lang w:eastAsia="en-US"/>
        </w:rPr>
        <w:t>5</w:t>
      </w:r>
      <w:r w:rsidRPr="00607020">
        <w:rPr>
          <w:rFonts w:eastAsiaTheme="minorHAnsi"/>
          <w:lang w:eastAsia="en-US"/>
        </w:rPr>
        <w:t> 000,00 PLN</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4C0026" w:rsidRPr="00BB5DFD">
        <w:rPr>
          <w:rStyle w:val="FontStyle77"/>
          <w:color w:val="auto"/>
          <w:sz w:val="24"/>
          <w:szCs w:val="24"/>
        </w:rPr>
        <w:t>Powszechna Kasa Oszczędności Bank Polski S.A. w Bydgoszczy, Oddział w Lipnie Nr 79102014620000770203434131</w:t>
      </w:r>
      <w:r w:rsidR="008508CA" w:rsidRPr="00E63C01">
        <w:t xml:space="preserve"> z adnotacją: "Wadium - nr sprawy: </w:t>
      </w:r>
      <w:r w:rsidR="008508CA" w:rsidRPr="00737F77">
        <w:rPr>
          <w:highlight w:val="white"/>
        </w:rPr>
        <w:t>RGK-271.0</w:t>
      </w:r>
      <w:r w:rsidR="004C0026">
        <w:rPr>
          <w:highlight w:val="white"/>
        </w:rPr>
        <w:t>5</w:t>
      </w:r>
      <w:r w:rsidR="008508CA" w:rsidRPr="00737F77">
        <w:rPr>
          <w:highlight w:val="white"/>
        </w:rPr>
        <w:t>.20</w:t>
      </w:r>
      <w:r w:rsidR="008508CA" w:rsidRPr="00737F77">
        <w:t>1</w:t>
      </w:r>
      <w:r w:rsidR="004C0026">
        <w:t>9</w:t>
      </w:r>
      <w:r w:rsidR="008508CA" w:rsidRPr="00E63C01">
        <w:t xml:space="preserve"> </w:t>
      </w:r>
      <w:r w:rsidR="008508CA" w:rsidRPr="008D74EF">
        <w:rPr>
          <w:rFonts w:eastAsia="Calibri"/>
        </w:rPr>
        <w:t>„</w:t>
      </w:r>
      <w:r w:rsidR="00C43B78" w:rsidRPr="00D44B9F">
        <w:t xml:space="preserve">Przebudowa drogi gminnej </w:t>
      </w:r>
      <w:r w:rsidR="004C0026">
        <w:t>Białowieżyn</w:t>
      </w:r>
      <w:r w:rsidR="004C0026" w:rsidRPr="00D44B9F">
        <w:t xml:space="preserve"> - </w:t>
      </w:r>
      <w:r w:rsidR="004C0026">
        <w:t>Kłokock</w:t>
      </w:r>
      <w:r w:rsidR="004C0026" w:rsidRPr="00D44B9F">
        <w:t xml:space="preserve"> nr 1705</w:t>
      </w:r>
      <w:r w:rsidR="004C0026">
        <w:t>22</w:t>
      </w:r>
      <w:r w:rsidR="004C0026" w:rsidRPr="00D44B9F">
        <w:t xml:space="preserve"> C</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lastRenderedPageBreak/>
        <w:t>O udzielenie zamówienia mogą ubiegać się Wykonawcy, którzy:</w:t>
      </w:r>
    </w:p>
    <w:p w:rsidR="008B362D" w:rsidRPr="005D6B65"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122A05">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122A05">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B60F2"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co najmniej:</w:t>
      </w:r>
    </w:p>
    <w:p w:rsidR="00842A25" w:rsidRPr="004C0026" w:rsidRDefault="00842A25" w:rsidP="00122A05">
      <w:pPr>
        <w:pStyle w:val="Style24"/>
        <w:widowControl/>
        <w:numPr>
          <w:ilvl w:val="0"/>
          <w:numId w:val="114"/>
        </w:numPr>
        <w:spacing w:before="86" w:line="276" w:lineRule="auto"/>
        <w:rPr>
          <w:rStyle w:val="FontStyle77"/>
          <w:color w:val="auto"/>
          <w:sz w:val="24"/>
          <w:szCs w:val="24"/>
        </w:rPr>
      </w:pPr>
      <w:r w:rsidRPr="004C0026">
        <w:rPr>
          <w:rStyle w:val="FontStyle77"/>
          <w:color w:val="auto"/>
          <w:sz w:val="24"/>
          <w:szCs w:val="24"/>
        </w:rPr>
        <w:t xml:space="preserve">część I – </w:t>
      </w:r>
      <w:r w:rsidR="00C43B78" w:rsidRPr="004C0026">
        <w:rPr>
          <w:rStyle w:val="FontStyle77"/>
          <w:color w:val="auto"/>
          <w:sz w:val="24"/>
          <w:szCs w:val="24"/>
        </w:rPr>
        <w:t>5</w:t>
      </w:r>
      <w:r w:rsidRPr="004C0026">
        <w:rPr>
          <w:rStyle w:val="FontStyle77"/>
          <w:color w:val="auto"/>
          <w:sz w:val="24"/>
          <w:szCs w:val="24"/>
        </w:rPr>
        <w:t>00 000 PLN</w:t>
      </w:r>
    </w:p>
    <w:p w:rsidR="00842A25" w:rsidRPr="004C0026" w:rsidRDefault="00842A25" w:rsidP="00122A05">
      <w:pPr>
        <w:pStyle w:val="Style24"/>
        <w:widowControl/>
        <w:numPr>
          <w:ilvl w:val="0"/>
          <w:numId w:val="114"/>
        </w:numPr>
        <w:spacing w:before="86" w:line="276" w:lineRule="auto"/>
        <w:rPr>
          <w:rStyle w:val="FontStyle77"/>
          <w:color w:val="auto"/>
          <w:sz w:val="24"/>
          <w:szCs w:val="24"/>
        </w:rPr>
      </w:pPr>
      <w:r w:rsidRPr="004C0026">
        <w:rPr>
          <w:rStyle w:val="FontStyle77"/>
          <w:color w:val="auto"/>
          <w:sz w:val="24"/>
          <w:szCs w:val="24"/>
        </w:rPr>
        <w:t xml:space="preserve">część II – </w:t>
      </w:r>
      <w:r w:rsidR="00C43B78" w:rsidRPr="004C0026">
        <w:rPr>
          <w:rStyle w:val="FontStyle77"/>
          <w:color w:val="auto"/>
          <w:sz w:val="24"/>
          <w:szCs w:val="24"/>
        </w:rPr>
        <w:t>3</w:t>
      </w:r>
      <w:r w:rsidRPr="004C0026">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501A0E" w:rsidRPr="00FB60F2" w:rsidRDefault="00501A0E" w:rsidP="00122A05">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w:t>
      </w:r>
      <w:r w:rsidR="00842A25" w:rsidRPr="00FB60F2">
        <w:rPr>
          <w:rStyle w:val="FontStyle77"/>
          <w:color w:val="auto"/>
          <w:sz w:val="24"/>
          <w:szCs w:val="24"/>
        </w:rPr>
        <w:t>alności w wysokości co najmniej:</w:t>
      </w:r>
    </w:p>
    <w:p w:rsidR="00842A25" w:rsidRPr="004C0026" w:rsidRDefault="00842A25" w:rsidP="00122A05">
      <w:pPr>
        <w:pStyle w:val="Style24"/>
        <w:widowControl/>
        <w:numPr>
          <w:ilvl w:val="0"/>
          <w:numId w:val="115"/>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C43B78" w:rsidRPr="004C0026">
        <w:rPr>
          <w:rStyle w:val="FontStyle77"/>
          <w:color w:val="auto"/>
          <w:sz w:val="24"/>
          <w:szCs w:val="24"/>
        </w:rPr>
        <w:t>5</w:t>
      </w:r>
      <w:r w:rsidRPr="004C0026">
        <w:rPr>
          <w:rStyle w:val="FontStyle77"/>
          <w:color w:val="auto"/>
          <w:sz w:val="24"/>
          <w:szCs w:val="24"/>
        </w:rPr>
        <w:t>00 000 PLN</w:t>
      </w:r>
    </w:p>
    <w:p w:rsidR="00842A25" w:rsidRPr="004C0026" w:rsidRDefault="00842A25" w:rsidP="00122A05">
      <w:pPr>
        <w:pStyle w:val="Style24"/>
        <w:widowControl/>
        <w:numPr>
          <w:ilvl w:val="0"/>
          <w:numId w:val="115"/>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C43B78" w:rsidRPr="004C0026">
        <w:rPr>
          <w:rStyle w:val="FontStyle77"/>
          <w:color w:val="auto"/>
          <w:sz w:val="24"/>
          <w:szCs w:val="24"/>
        </w:rPr>
        <w:t>3</w:t>
      </w:r>
      <w:r w:rsidRPr="004C0026">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122A05">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wartości nie mniejszej niż</w:t>
      </w:r>
      <w:r w:rsidR="00FB60F2">
        <w:rPr>
          <w:rStyle w:val="FontStyle18"/>
          <w:i w:val="0"/>
          <w:sz w:val="24"/>
          <w:szCs w:val="24"/>
        </w:rPr>
        <w:t>:</w:t>
      </w:r>
    </w:p>
    <w:p w:rsidR="00FB60F2" w:rsidRPr="004C0026" w:rsidRDefault="00FB60F2" w:rsidP="00122A05">
      <w:pPr>
        <w:pStyle w:val="Style24"/>
        <w:widowControl/>
        <w:numPr>
          <w:ilvl w:val="0"/>
          <w:numId w:val="116"/>
        </w:numPr>
        <w:spacing w:before="86" w:line="276" w:lineRule="auto"/>
        <w:ind w:left="1276" w:hanging="425"/>
        <w:rPr>
          <w:rStyle w:val="FontStyle77"/>
          <w:color w:val="auto"/>
          <w:sz w:val="24"/>
          <w:szCs w:val="24"/>
        </w:rPr>
      </w:pPr>
      <w:r w:rsidRPr="004C0026">
        <w:rPr>
          <w:rStyle w:val="FontStyle77"/>
          <w:color w:val="auto"/>
          <w:sz w:val="24"/>
          <w:szCs w:val="24"/>
        </w:rPr>
        <w:t xml:space="preserve">część I – </w:t>
      </w:r>
      <w:r w:rsidR="00C43B78" w:rsidRPr="004C0026">
        <w:rPr>
          <w:rStyle w:val="FontStyle77"/>
          <w:color w:val="auto"/>
          <w:sz w:val="24"/>
          <w:szCs w:val="24"/>
        </w:rPr>
        <w:t>5</w:t>
      </w:r>
      <w:r w:rsidRPr="004C0026">
        <w:rPr>
          <w:rStyle w:val="FontStyle77"/>
          <w:color w:val="auto"/>
          <w:sz w:val="24"/>
          <w:szCs w:val="24"/>
        </w:rPr>
        <w:t xml:space="preserve">00 000 PLN </w:t>
      </w:r>
    </w:p>
    <w:p w:rsidR="00FB60F2" w:rsidRPr="004C0026" w:rsidRDefault="00FB60F2" w:rsidP="00122A05">
      <w:pPr>
        <w:pStyle w:val="Style24"/>
        <w:widowControl/>
        <w:numPr>
          <w:ilvl w:val="0"/>
          <w:numId w:val="116"/>
        </w:numPr>
        <w:spacing w:before="86" w:line="276" w:lineRule="auto"/>
        <w:ind w:left="1276" w:hanging="425"/>
        <w:rPr>
          <w:rStyle w:val="FontStyle77"/>
          <w:color w:val="auto"/>
          <w:sz w:val="24"/>
          <w:szCs w:val="24"/>
        </w:rPr>
      </w:pPr>
      <w:r w:rsidRPr="004C0026">
        <w:rPr>
          <w:rStyle w:val="FontStyle77"/>
          <w:color w:val="auto"/>
          <w:sz w:val="24"/>
          <w:szCs w:val="24"/>
        </w:rPr>
        <w:t xml:space="preserve">część II – </w:t>
      </w:r>
      <w:r w:rsidR="00C43B78" w:rsidRPr="004C0026">
        <w:rPr>
          <w:rStyle w:val="FontStyle77"/>
          <w:color w:val="auto"/>
          <w:sz w:val="24"/>
          <w:szCs w:val="24"/>
        </w:rPr>
        <w:t>3</w:t>
      </w:r>
      <w:r w:rsidRPr="004C0026">
        <w:rPr>
          <w:rStyle w:val="FontStyle77"/>
          <w:color w:val="auto"/>
          <w:sz w:val="24"/>
          <w:szCs w:val="24"/>
        </w:rPr>
        <w:t xml:space="preserve">00 000 PLN </w:t>
      </w:r>
    </w:p>
    <w:p w:rsidR="00FB60F2" w:rsidRPr="009D2AFC" w:rsidRDefault="009D2AFC" w:rsidP="009D2AFC">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4C0026">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Wykonawca może w celu potwierdzenia spełniania warunków udziału w postępowaniu, o których mowa w punkcie 1a jw. w stosownych sytuacjach oraz w odniesieniu do konkretnego zamówienia, lub jego części, polegać na zdolnościach technicznych lub zawodowych lub </w:t>
      </w:r>
      <w:r w:rsidRPr="00254100">
        <w:rPr>
          <w:rStyle w:val="FontStyle77"/>
          <w:sz w:val="24"/>
          <w:szCs w:val="24"/>
        </w:rPr>
        <w:lastRenderedPageBreak/>
        <w:t>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lastRenderedPageBreak/>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C43B78">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9D2AFC"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9D2AFC">
        <w:rPr>
          <w:rStyle w:val="FontStyle77"/>
          <w:color w:val="auto"/>
          <w:sz w:val="24"/>
          <w:szCs w:val="24"/>
        </w:rPr>
        <w:t>:</w:t>
      </w:r>
    </w:p>
    <w:p w:rsidR="009D2AFC" w:rsidRPr="00871830" w:rsidRDefault="00501A0E" w:rsidP="00122A05">
      <w:pPr>
        <w:pStyle w:val="Style24"/>
        <w:widowControl/>
        <w:numPr>
          <w:ilvl w:val="0"/>
          <w:numId w:val="118"/>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009D2AFC" w:rsidRPr="00871830">
        <w:rPr>
          <w:rStyle w:val="FontStyle77"/>
          <w:color w:val="auto"/>
          <w:sz w:val="24"/>
          <w:szCs w:val="24"/>
        </w:rPr>
        <w:t xml:space="preserve">część I – </w:t>
      </w:r>
      <w:r w:rsidR="00C43B78" w:rsidRPr="00871830">
        <w:rPr>
          <w:rStyle w:val="FontStyle77"/>
          <w:color w:val="auto"/>
          <w:sz w:val="24"/>
          <w:szCs w:val="24"/>
        </w:rPr>
        <w:t>5</w:t>
      </w:r>
      <w:r w:rsidR="009D2AFC" w:rsidRPr="00871830">
        <w:rPr>
          <w:rStyle w:val="FontStyle77"/>
          <w:color w:val="auto"/>
          <w:sz w:val="24"/>
          <w:szCs w:val="24"/>
        </w:rPr>
        <w:t>00 000 PLN</w:t>
      </w:r>
    </w:p>
    <w:p w:rsidR="009D2AFC" w:rsidRPr="00871830" w:rsidRDefault="009D2AFC" w:rsidP="00122A05">
      <w:pPr>
        <w:pStyle w:val="Style24"/>
        <w:widowControl/>
        <w:numPr>
          <w:ilvl w:val="0"/>
          <w:numId w:val="118"/>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C43B78" w:rsidRPr="00871830">
        <w:rPr>
          <w:rStyle w:val="FontStyle77"/>
          <w:color w:val="auto"/>
          <w:sz w:val="24"/>
          <w:szCs w:val="24"/>
        </w:rPr>
        <w:t>3</w:t>
      </w:r>
      <w:r w:rsidRPr="00871830">
        <w:rPr>
          <w:rStyle w:val="FontStyle77"/>
          <w:color w:val="auto"/>
          <w:sz w:val="24"/>
          <w:szCs w:val="24"/>
        </w:rPr>
        <w:t>00 000 PLN</w:t>
      </w:r>
    </w:p>
    <w:p w:rsidR="009D2AFC" w:rsidRPr="00FB60F2" w:rsidRDefault="009D2AFC" w:rsidP="009D2AFC">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9D2AFC" w:rsidRPr="009D2AFC" w:rsidRDefault="00501A0E" w:rsidP="00122A05">
      <w:pPr>
        <w:pStyle w:val="Style24"/>
        <w:widowControl/>
        <w:numPr>
          <w:ilvl w:val="0"/>
          <w:numId w:val="117"/>
        </w:numPr>
        <w:spacing w:before="86" w:line="276" w:lineRule="auto"/>
        <w:ind w:left="851" w:hanging="284"/>
        <w:rPr>
          <w:rStyle w:val="FontStyle77"/>
          <w:color w:val="auto"/>
          <w:sz w:val="24"/>
          <w:szCs w:val="24"/>
        </w:rPr>
      </w:pPr>
      <w:r w:rsidRPr="009D2AFC">
        <w:rPr>
          <w:rStyle w:val="FontStyle77"/>
          <w:color w:val="auto"/>
          <w:sz w:val="24"/>
          <w:szCs w:val="24"/>
        </w:rPr>
        <w:lastRenderedPageBreak/>
        <w:t>dokumentu potwierdzającego, że Wykonawca jest ubezpieczony od odpowiedzialności cywilnej w zakresie prowadzonej działalności związanej z przedmiotem zamówienia na sumę gwarancyjną, na kwotę nie mniejszą niż</w:t>
      </w:r>
      <w:r w:rsidR="009D2AFC" w:rsidRPr="009D2AFC">
        <w:rPr>
          <w:rStyle w:val="FontStyle77"/>
          <w:color w:val="auto"/>
          <w:sz w:val="24"/>
          <w:szCs w:val="24"/>
        </w:rPr>
        <w:t>:</w:t>
      </w:r>
      <w:r w:rsidRPr="009D2AFC">
        <w:rPr>
          <w:rStyle w:val="FontStyle77"/>
          <w:color w:val="auto"/>
          <w:sz w:val="24"/>
          <w:szCs w:val="24"/>
        </w:rPr>
        <w:t xml:space="preserve"> </w:t>
      </w:r>
    </w:p>
    <w:p w:rsidR="009D2AFC" w:rsidRPr="00871830" w:rsidRDefault="009D2AFC" w:rsidP="00122A05">
      <w:pPr>
        <w:pStyle w:val="Style24"/>
        <w:widowControl/>
        <w:numPr>
          <w:ilvl w:val="0"/>
          <w:numId w:val="119"/>
        </w:numPr>
        <w:spacing w:before="86" w:line="276" w:lineRule="auto"/>
        <w:ind w:left="1134" w:hanging="283"/>
        <w:rPr>
          <w:rStyle w:val="FontStyle77"/>
          <w:color w:val="auto"/>
          <w:sz w:val="24"/>
          <w:szCs w:val="24"/>
        </w:rPr>
      </w:pPr>
      <w:r w:rsidRPr="00871830">
        <w:rPr>
          <w:rStyle w:val="FontStyle77"/>
          <w:color w:val="auto"/>
          <w:sz w:val="24"/>
          <w:szCs w:val="24"/>
        </w:rPr>
        <w:t xml:space="preserve">część I – </w:t>
      </w:r>
      <w:r w:rsidR="00C43B78" w:rsidRPr="00871830">
        <w:rPr>
          <w:rStyle w:val="FontStyle77"/>
          <w:color w:val="auto"/>
          <w:sz w:val="24"/>
          <w:szCs w:val="24"/>
        </w:rPr>
        <w:t>5</w:t>
      </w:r>
      <w:r w:rsidRPr="00871830">
        <w:rPr>
          <w:rStyle w:val="FontStyle77"/>
          <w:color w:val="auto"/>
          <w:sz w:val="24"/>
          <w:szCs w:val="24"/>
        </w:rPr>
        <w:t>00 000 PLN</w:t>
      </w:r>
    </w:p>
    <w:p w:rsidR="009D2AFC" w:rsidRPr="00871830" w:rsidRDefault="009D2AFC" w:rsidP="00122A05">
      <w:pPr>
        <w:pStyle w:val="Style24"/>
        <w:widowControl/>
        <w:numPr>
          <w:ilvl w:val="0"/>
          <w:numId w:val="119"/>
        </w:numPr>
        <w:spacing w:before="86" w:line="276" w:lineRule="auto"/>
        <w:ind w:left="1134" w:hanging="283"/>
        <w:rPr>
          <w:rStyle w:val="FontStyle77"/>
          <w:color w:val="auto"/>
          <w:sz w:val="24"/>
          <w:szCs w:val="24"/>
        </w:rPr>
      </w:pPr>
      <w:r w:rsidRPr="00871830">
        <w:rPr>
          <w:rStyle w:val="FontStyle77"/>
          <w:color w:val="auto"/>
          <w:sz w:val="24"/>
          <w:szCs w:val="24"/>
        </w:rPr>
        <w:t xml:space="preserve">część II – </w:t>
      </w:r>
      <w:r w:rsidR="00C43B78" w:rsidRPr="00871830">
        <w:rPr>
          <w:rStyle w:val="FontStyle77"/>
          <w:color w:val="auto"/>
          <w:sz w:val="24"/>
          <w:szCs w:val="24"/>
        </w:rPr>
        <w:t>3</w:t>
      </w:r>
      <w:r w:rsidRPr="00871830">
        <w:rPr>
          <w:rStyle w:val="FontStyle77"/>
          <w:color w:val="auto"/>
          <w:sz w:val="24"/>
          <w:szCs w:val="24"/>
        </w:rPr>
        <w:t>00 000 PLN</w:t>
      </w:r>
    </w:p>
    <w:p w:rsidR="009D2AFC" w:rsidRPr="009D2AFC" w:rsidRDefault="009D2AFC" w:rsidP="009D2AFC">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C43B78" w:rsidP="00122A05">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501A0E" w:rsidRPr="009D2AFC">
        <w:rPr>
          <w:rStyle w:val="FontStyle77"/>
          <w:color w:val="auto"/>
          <w:sz w:val="24"/>
          <w:szCs w:val="24"/>
        </w:rPr>
        <w:t>.</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lastRenderedPageBreak/>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CE34D5" w:rsidRPr="00021B4F">
        <w:rPr>
          <w:rStyle w:val="FontStyle77"/>
          <w:sz w:val="24"/>
          <w:szCs w:val="24"/>
        </w:rPr>
        <w:t>Dz. U. z 201</w:t>
      </w:r>
      <w:r w:rsidR="00CE34D5">
        <w:rPr>
          <w:rStyle w:val="FontStyle77"/>
          <w:sz w:val="24"/>
          <w:szCs w:val="24"/>
        </w:rPr>
        <w:t>7</w:t>
      </w:r>
      <w:r w:rsidR="00CE34D5" w:rsidRPr="00021B4F">
        <w:rPr>
          <w:rStyle w:val="FontStyle77"/>
          <w:sz w:val="24"/>
          <w:szCs w:val="24"/>
        </w:rPr>
        <w:t xml:space="preserve"> r. poz. </w:t>
      </w:r>
      <w:r w:rsidR="00CE34D5">
        <w:rPr>
          <w:rStyle w:val="FontStyle77"/>
          <w:sz w:val="24"/>
          <w:szCs w:val="24"/>
        </w:rPr>
        <w:t>570 tj.</w:t>
      </w:r>
      <w:r w:rsidRPr="00021B4F">
        <w:rPr>
          <w:rStyle w:val="FontStyle77"/>
          <w:sz w:val="24"/>
          <w:szCs w:val="24"/>
        </w:rPr>
        <w:t>).</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lastRenderedPageBreak/>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005597">
      <w:pPr>
        <w:pStyle w:val="Style21"/>
        <w:widowControl/>
        <w:spacing w:line="276" w:lineRule="auto"/>
        <w:jc w:val="left"/>
        <w:rPr>
          <w:sz w:val="20"/>
          <w:szCs w:val="20"/>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CE34D5" w:rsidRPr="00195F15" w:rsidRDefault="00CE34D5" w:rsidP="00CE34D5">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871830">
        <w:rPr>
          <w:rStyle w:val="FontStyle77"/>
          <w:color w:val="auto"/>
          <w:sz w:val="24"/>
          <w:szCs w:val="24"/>
        </w:rPr>
        <w:t>5</w:t>
      </w:r>
      <w:r w:rsidR="00460D77" w:rsidRPr="00460D77">
        <w:rPr>
          <w:rStyle w:val="FontStyle77"/>
          <w:color w:val="auto"/>
          <w:sz w:val="24"/>
          <w:szCs w:val="24"/>
        </w:rPr>
        <w:t>.</w:t>
      </w:r>
      <w:r w:rsidR="00413BCD" w:rsidRPr="00460D77">
        <w:rPr>
          <w:rStyle w:val="FontStyle77"/>
          <w:color w:val="auto"/>
          <w:sz w:val="24"/>
          <w:szCs w:val="24"/>
        </w:rPr>
        <w:t>201</w:t>
      </w:r>
      <w:r w:rsidR="00871830">
        <w:rPr>
          <w:rStyle w:val="FontStyle77"/>
          <w:color w:val="auto"/>
          <w:sz w:val="24"/>
          <w:szCs w:val="24"/>
        </w:rPr>
        <w:t>9</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00871830">
        <w:rPr>
          <w:rStyle w:val="FontStyle77"/>
          <w:sz w:val="24"/>
          <w:szCs w:val="24"/>
        </w:rPr>
        <w:t xml:space="preserve"> Wioletta Błaszkiewicz</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w:t>
      </w:r>
      <w:r w:rsidRPr="00195F15">
        <w:rPr>
          <w:rStyle w:val="FontStyle77"/>
          <w:sz w:val="24"/>
          <w:szCs w:val="24"/>
        </w:rPr>
        <w:lastRenderedPageBreak/>
        <w:t>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D30243">
        <w:rPr>
          <w:rStyle w:val="FontStyle75"/>
          <w:color w:val="auto"/>
          <w:sz w:val="24"/>
          <w:szCs w:val="24"/>
        </w:rPr>
        <w:t>„</w:t>
      </w:r>
      <w:r w:rsidR="00CE34D5" w:rsidRPr="00CE34D5">
        <w:rPr>
          <w:b/>
        </w:rPr>
        <w:t xml:space="preserve">Przebudowa drogi gminnej </w:t>
      </w:r>
      <w:r w:rsidR="00871830">
        <w:rPr>
          <w:b/>
        </w:rPr>
        <w:t>Białowieżyn</w:t>
      </w:r>
      <w:r w:rsidR="00CE34D5" w:rsidRPr="00CE34D5">
        <w:rPr>
          <w:b/>
        </w:rPr>
        <w:t xml:space="preserve"> - </w:t>
      </w:r>
      <w:r w:rsidR="00871830">
        <w:rPr>
          <w:b/>
        </w:rPr>
        <w:t>Kłokock</w:t>
      </w:r>
      <w:r w:rsidR="00CE34D5" w:rsidRPr="00CE34D5">
        <w:rPr>
          <w:b/>
        </w:rPr>
        <w:t xml:space="preserve"> nr 1705</w:t>
      </w:r>
      <w:r w:rsidR="00871830">
        <w:rPr>
          <w:b/>
        </w:rPr>
        <w:t>22</w:t>
      </w:r>
      <w:r w:rsidR="00CE34D5" w:rsidRPr="00CE34D5">
        <w:rPr>
          <w:b/>
        </w:rPr>
        <w:t xml:space="preserve"> C - etap I</w:t>
      </w:r>
      <w:r w:rsidR="00871830">
        <w:rPr>
          <w:b/>
        </w:rPr>
        <w:t>I</w:t>
      </w:r>
      <w:r w:rsidR="00CE34D5" w:rsidRPr="00CE34D5">
        <w:rPr>
          <w:b/>
        </w:rPr>
        <w:t xml:space="preserve"> i II</w:t>
      </w:r>
      <w:r w:rsidR="00871830">
        <w:rPr>
          <w:b/>
        </w:rPr>
        <w:t>I</w:t>
      </w:r>
      <w:r w:rsidR="008D74EF" w:rsidRPr="00CE34D5">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871830">
        <w:rPr>
          <w:rStyle w:val="FontStyle75"/>
          <w:color w:val="auto"/>
          <w:sz w:val="24"/>
          <w:szCs w:val="24"/>
        </w:rPr>
        <w:t>1</w:t>
      </w:r>
      <w:r w:rsidR="00FE6F39">
        <w:rPr>
          <w:rStyle w:val="FontStyle75"/>
          <w:color w:val="auto"/>
          <w:sz w:val="24"/>
          <w:szCs w:val="24"/>
        </w:rPr>
        <w:t>2</w:t>
      </w:r>
      <w:r w:rsidR="00D30243" w:rsidRPr="00D81A0D">
        <w:rPr>
          <w:rStyle w:val="FontStyle75"/>
          <w:color w:val="auto"/>
          <w:sz w:val="24"/>
          <w:szCs w:val="24"/>
        </w:rPr>
        <w:t>.0</w:t>
      </w:r>
      <w:r w:rsidR="00871830">
        <w:rPr>
          <w:rStyle w:val="FontStyle75"/>
          <w:color w:val="auto"/>
          <w:sz w:val="24"/>
          <w:szCs w:val="24"/>
        </w:rPr>
        <w:t>4</w:t>
      </w:r>
      <w:r w:rsidR="00D30243" w:rsidRPr="00D81A0D">
        <w:rPr>
          <w:rStyle w:val="FontStyle75"/>
          <w:color w:val="auto"/>
          <w:sz w:val="24"/>
          <w:szCs w:val="24"/>
        </w:rPr>
        <w:t>.201</w:t>
      </w:r>
      <w:r w:rsidR="00871830">
        <w:rPr>
          <w:rStyle w:val="FontStyle75"/>
          <w:color w:val="auto"/>
          <w:sz w:val="24"/>
          <w:szCs w:val="24"/>
        </w:rPr>
        <w:t>9</w:t>
      </w:r>
      <w:r w:rsidRPr="00D81A0D">
        <w:rPr>
          <w:rStyle w:val="FontStyle75"/>
          <w:color w:val="auto"/>
          <w:sz w:val="24"/>
          <w:szCs w:val="24"/>
        </w:rPr>
        <w:t xml:space="preserve"> r. godz. </w:t>
      </w:r>
      <w:r w:rsidR="00871830">
        <w:rPr>
          <w:rStyle w:val="FontStyle75"/>
          <w:color w:val="auto"/>
          <w:sz w:val="24"/>
          <w:szCs w:val="24"/>
        </w:rPr>
        <w:t>10</w:t>
      </w:r>
      <w:r w:rsidRPr="00D81A0D">
        <w:rPr>
          <w:rStyle w:val="FontStyle75"/>
          <w:color w:val="auto"/>
          <w:sz w:val="24"/>
          <w:szCs w:val="24"/>
        </w:rPr>
        <w:t>:</w:t>
      </w:r>
      <w:r w:rsidR="00871830">
        <w:rPr>
          <w:rStyle w:val="FontStyle75"/>
          <w:color w:val="auto"/>
          <w:sz w:val="24"/>
          <w:szCs w:val="24"/>
        </w:rPr>
        <w:t>3</w:t>
      </w:r>
      <w:r w:rsidRPr="00D81A0D">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lastRenderedPageBreak/>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w:t>
      </w:r>
      <w:r w:rsidRPr="00D81A0D">
        <w:rPr>
          <w:rStyle w:val="FontStyle77"/>
          <w:color w:val="auto"/>
          <w:sz w:val="24"/>
          <w:szCs w:val="24"/>
        </w:rPr>
        <w:t xml:space="preserve">Zamawiającemu </w:t>
      </w:r>
      <w:r w:rsidR="00022A8D" w:rsidRPr="00D81A0D">
        <w:rPr>
          <w:rStyle w:val="FontStyle77"/>
          <w:color w:val="auto"/>
          <w:sz w:val="24"/>
          <w:szCs w:val="24"/>
        </w:rPr>
        <w:t>w Urzędzie Gminy Lipno</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w:t>
      </w:r>
      <w:r w:rsidRPr="00D81A0D">
        <w:rPr>
          <w:rStyle w:val="FontStyle77"/>
          <w:color w:val="auto"/>
          <w:sz w:val="24"/>
          <w:szCs w:val="24"/>
        </w:rPr>
        <w:t xml:space="preserve"> </w:t>
      </w:r>
      <w:r w:rsidR="00022A8D" w:rsidRPr="00D81A0D">
        <w:rPr>
          <w:rStyle w:val="FontStyle77"/>
          <w:color w:val="auto"/>
          <w:sz w:val="24"/>
          <w:szCs w:val="24"/>
        </w:rPr>
        <w:t>Lipno</w:t>
      </w:r>
      <w:r w:rsidRPr="00D81A0D">
        <w:rPr>
          <w:rStyle w:val="FontStyle77"/>
          <w:color w:val="auto"/>
          <w:sz w:val="24"/>
          <w:szCs w:val="24"/>
        </w:rPr>
        <w:t xml:space="preserve"> </w:t>
      </w:r>
      <w:r w:rsidR="00022A8D" w:rsidRPr="00D81A0D">
        <w:rPr>
          <w:rStyle w:val="FontStyle77"/>
          <w:color w:val="auto"/>
          <w:sz w:val="24"/>
          <w:szCs w:val="24"/>
        </w:rPr>
        <w:t xml:space="preserve">(Sekretariat) </w:t>
      </w:r>
      <w:r w:rsidRPr="00D81A0D">
        <w:rPr>
          <w:rStyle w:val="FontStyle77"/>
          <w:color w:val="auto"/>
          <w:sz w:val="24"/>
          <w:szCs w:val="24"/>
        </w:rPr>
        <w:t xml:space="preserve">w terminie do dnia </w:t>
      </w:r>
      <w:r w:rsidR="00871830">
        <w:rPr>
          <w:rStyle w:val="FontStyle75"/>
          <w:b w:val="0"/>
          <w:color w:val="auto"/>
          <w:sz w:val="24"/>
          <w:szCs w:val="24"/>
        </w:rPr>
        <w:t>1</w:t>
      </w:r>
      <w:r w:rsidR="00FE6F39">
        <w:rPr>
          <w:rStyle w:val="FontStyle75"/>
          <w:b w:val="0"/>
          <w:color w:val="auto"/>
          <w:sz w:val="24"/>
          <w:szCs w:val="24"/>
        </w:rPr>
        <w:t>2</w:t>
      </w:r>
      <w:r w:rsidR="00D30243" w:rsidRPr="00D81A0D">
        <w:rPr>
          <w:rStyle w:val="FontStyle75"/>
          <w:b w:val="0"/>
          <w:color w:val="auto"/>
          <w:sz w:val="24"/>
          <w:szCs w:val="24"/>
        </w:rPr>
        <w:t>.0</w:t>
      </w:r>
      <w:r w:rsidR="00871830">
        <w:rPr>
          <w:rStyle w:val="FontStyle75"/>
          <w:b w:val="0"/>
          <w:color w:val="auto"/>
          <w:sz w:val="24"/>
          <w:szCs w:val="24"/>
        </w:rPr>
        <w:t>4</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do godz. </w:t>
      </w:r>
      <w:r w:rsidR="00FE6F39">
        <w:rPr>
          <w:rStyle w:val="FontStyle77"/>
          <w:color w:val="auto"/>
          <w:sz w:val="24"/>
          <w:szCs w:val="24"/>
        </w:rPr>
        <w:t>10</w:t>
      </w:r>
      <w:r w:rsidRPr="00D81A0D">
        <w:rPr>
          <w:rStyle w:val="FontStyle77"/>
          <w:color w:val="auto"/>
          <w:sz w:val="24"/>
          <w:szCs w:val="24"/>
        </w:rPr>
        <w:t>:00.</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Złożona oferta zostanie przez Zamawiającego zarejestrowana (dzień, godzina) oraz otrzyma kolejny numer.</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 xml:space="preserve">Otwarcie ofert nastąpi w Urzędzie Gminy w </w:t>
      </w:r>
      <w:r w:rsidR="00022A8D" w:rsidRPr="00D81A0D">
        <w:rPr>
          <w:rStyle w:val="FontStyle77"/>
          <w:color w:val="auto"/>
          <w:sz w:val="24"/>
          <w:szCs w:val="24"/>
        </w:rPr>
        <w:t>Lipnie</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 Lipno</w:t>
      </w:r>
      <w:r w:rsidRPr="00D81A0D">
        <w:rPr>
          <w:rStyle w:val="FontStyle77"/>
          <w:color w:val="auto"/>
          <w:sz w:val="24"/>
          <w:szCs w:val="24"/>
        </w:rPr>
        <w:t xml:space="preserve"> - sala </w:t>
      </w:r>
      <w:r w:rsidR="00022A8D" w:rsidRPr="00D81A0D">
        <w:rPr>
          <w:rStyle w:val="FontStyle77"/>
          <w:color w:val="auto"/>
          <w:sz w:val="24"/>
          <w:szCs w:val="24"/>
        </w:rPr>
        <w:t>posiedzeń</w:t>
      </w:r>
      <w:r w:rsidRPr="00D81A0D">
        <w:rPr>
          <w:rStyle w:val="FontStyle77"/>
          <w:color w:val="auto"/>
          <w:sz w:val="24"/>
          <w:szCs w:val="24"/>
        </w:rPr>
        <w:t xml:space="preserve"> nr 12, dnia </w:t>
      </w:r>
      <w:r w:rsidR="00871830">
        <w:rPr>
          <w:rStyle w:val="FontStyle75"/>
          <w:b w:val="0"/>
          <w:color w:val="auto"/>
          <w:sz w:val="24"/>
          <w:szCs w:val="24"/>
        </w:rPr>
        <w:t>1</w:t>
      </w:r>
      <w:r w:rsidR="00FE6F39">
        <w:rPr>
          <w:rStyle w:val="FontStyle75"/>
          <w:b w:val="0"/>
          <w:color w:val="auto"/>
          <w:sz w:val="24"/>
          <w:szCs w:val="24"/>
        </w:rPr>
        <w:t>2</w:t>
      </w:r>
      <w:r w:rsidR="00D30243" w:rsidRPr="00D81A0D">
        <w:rPr>
          <w:rStyle w:val="FontStyle75"/>
          <w:b w:val="0"/>
          <w:color w:val="auto"/>
          <w:sz w:val="24"/>
          <w:szCs w:val="24"/>
        </w:rPr>
        <w:t>.0</w:t>
      </w:r>
      <w:r w:rsidR="00871830">
        <w:rPr>
          <w:rStyle w:val="FontStyle75"/>
          <w:b w:val="0"/>
          <w:color w:val="auto"/>
          <w:sz w:val="24"/>
          <w:szCs w:val="24"/>
        </w:rPr>
        <w:t>4</w:t>
      </w:r>
      <w:r w:rsidR="00D30243" w:rsidRPr="00D81A0D">
        <w:rPr>
          <w:rStyle w:val="FontStyle75"/>
          <w:b w:val="0"/>
          <w:color w:val="auto"/>
          <w:sz w:val="24"/>
          <w:szCs w:val="24"/>
        </w:rPr>
        <w:t>.201</w:t>
      </w:r>
      <w:r w:rsidR="00871830">
        <w:rPr>
          <w:rStyle w:val="FontStyle75"/>
          <w:b w:val="0"/>
          <w:color w:val="auto"/>
          <w:sz w:val="24"/>
          <w:szCs w:val="24"/>
        </w:rPr>
        <w:t>9</w:t>
      </w:r>
      <w:r w:rsidR="00D30243" w:rsidRPr="00D81A0D">
        <w:rPr>
          <w:rStyle w:val="FontStyle75"/>
          <w:color w:val="auto"/>
          <w:sz w:val="24"/>
          <w:szCs w:val="24"/>
        </w:rPr>
        <w:t xml:space="preserve"> </w:t>
      </w:r>
      <w:r w:rsidRPr="00D81A0D">
        <w:rPr>
          <w:rStyle w:val="FontStyle77"/>
          <w:color w:val="auto"/>
          <w:sz w:val="24"/>
          <w:szCs w:val="24"/>
        </w:rPr>
        <w:t xml:space="preserve">roku o godz. </w:t>
      </w:r>
      <w:r w:rsidR="00871830">
        <w:rPr>
          <w:rStyle w:val="FontStyle77"/>
          <w:color w:val="auto"/>
          <w:sz w:val="24"/>
          <w:szCs w:val="24"/>
        </w:rPr>
        <w:t>10</w:t>
      </w:r>
      <w:r w:rsidRPr="00D81A0D">
        <w:rPr>
          <w:rStyle w:val="FontStyle77"/>
          <w:color w:val="auto"/>
          <w:sz w:val="24"/>
          <w:szCs w:val="24"/>
        </w:rPr>
        <w:t>:</w:t>
      </w:r>
      <w:r w:rsidR="00022A8D" w:rsidRPr="00D81A0D">
        <w:rPr>
          <w:rStyle w:val="FontStyle77"/>
          <w:color w:val="auto"/>
          <w:sz w:val="24"/>
          <w:szCs w:val="24"/>
        </w:rPr>
        <w:t>3</w:t>
      </w:r>
      <w:r w:rsidRPr="00D81A0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lastRenderedPageBreak/>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bookmarkStart w:id="4" w:name="_GoBack"/>
      <w:bookmarkEnd w:id="4"/>
      <w:r w:rsidRPr="00B42685">
        <w:rPr>
          <w:rStyle w:val="FontStyle77"/>
          <w:sz w:val="24"/>
          <w:szCs w:val="24"/>
        </w:rPr>
        <w:t>koszt zaplecza socjalnego,</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lastRenderedPageBreak/>
        <w:t>odszkodowania za szkody wynikłe w związku z prowadzonymi pracami, Wykonawca odpowiada za wyrządzone szkody osobom trzecim w związku z prowadzona inwestycją,</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626734">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122A05">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lastRenderedPageBreak/>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122A05">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122A05">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lastRenderedPageBreak/>
        <w:t>W celu zawarcia umowy w sprawie zamówienia publicznego, Wykonawca, którego ofertę wybrano, jako najkorzystniejszą przed podpisaniem umowy składa:</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122A05">
      <w:pPr>
        <w:pStyle w:val="Style32"/>
        <w:widowControl/>
        <w:numPr>
          <w:ilvl w:val="0"/>
          <w:numId w:val="79"/>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D30243">
      <w:pPr>
        <w:pStyle w:val="Style24"/>
        <w:widowControl/>
        <w:numPr>
          <w:ilvl w:val="0"/>
          <w:numId w:val="46"/>
        </w:numPr>
        <w:spacing w:line="355" w:lineRule="exact"/>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871830" w:rsidRPr="00BB5DFD">
        <w:rPr>
          <w:rStyle w:val="FontStyle77"/>
          <w:color w:val="auto"/>
          <w:sz w:val="24"/>
          <w:szCs w:val="24"/>
        </w:rPr>
        <w:t>Powszechna Kasa Oszczędności Bank Polski S.A. w Bydgoszczy, Oddział w Lipnie Nr 79102014620000770203434131</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CE34D5" w:rsidRPr="00D44B9F">
        <w:t xml:space="preserve">Przebudowa drogi gminnej </w:t>
      </w:r>
      <w:r w:rsidR="00871830">
        <w:t>Białowieżyn</w:t>
      </w:r>
      <w:r w:rsidR="00CE34D5" w:rsidRPr="00D44B9F">
        <w:t xml:space="preserve"> - </w:t>
      </w:r>
      <w:r w:rsidR="00871830">
        <w:t>Kłokock</w:t>
      </w:r>
      <w:r w:rsidR="00CE34D5" w:rsidRPr="00D44B9F">
        <w:t xml:space="preserve"> nr 1705</w:t>
      </w:r>
      <w:r w:rsidR="00871830">
        <w:t>22</w:t>
      </w:r>
      <w:r w:rsidR="00CE34D5" w:rsidRPr="00D44B9F">
        <w:t xml:space="preserve"> C</w:t>
      </w:r>
      <w:r w:rsidR="00CE34D5">
        <w:t xml:space="preserve"> - etap I</w:t>
      </w:r>
      <w:r w:rsidR="00871830">
        <w:t>I</w:t>
      </w:r>
      <w:r w:rsidR="00CE34D5">
        <w:t xml:space="preserve"> i II</w:t>
      </w:r>
      <w:r w:rsidR="00871830">
        <w:t>I</w:t>
      </w:r>
      <w:r w:rsidR="00186101" w:rsidRPr="00112B14">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lastRenderedPageBreak/>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122A05">
      <w:pPr>
        <w:pStyle w:val="Style4"/>
        <w:widowControl/>
        <w:numPr>
          <w:ilvl w:val="0"/>
          <w:numId w:val="81"/>
        </w:numPr>
        <w:spacing w:line="355" w:lineRule="exact"/>
        <w:ind w:left="851" w:hanging="284"/>
        <w:jc w:val="left"/>
        <w:rPr>
          <w:rStyle w:val="FontStyle77"/>
          <w:sz w:val="24"/>
          <w:szCs w:val="24"/>
        </w:rPr>
      </w:pPr>
      <w:r w:rsidRPr="00186101">
        <w:rPr>
          <w:rStyle w:val="FontStyle77"/>
          <w:sz w:val="24"/>
          <w:szCs w:val="24"/>
        </w:rPr>
        <w:lastRenderedPageBreak/>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122A05">
      <w:pPr>
        <w:pStyle w:val="Style46"/>
        <w:widowControl/>
        <w:numPr>
          <w:ilvl w:val="0"/>
          <w:numId w:val="81"/>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lastRenderedPageBreak/>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jeżeli z przyczyn technicznych przesłanie dokumentów będzie znacząco utrudnione </w:t>
      </w:r>
      <w:r w:rsidRPr="00392DBF">
        <w:rPr>
          <w:rStyle w:val="FontStyle77"/>
          <w:sz w:val="24"/>
          <w:szCs w:val="24"/>
        </w:rPr>
        <w:lastRenderedPageBreak/>
        <w:t>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871830" w:rsidRPr="00871830" w:rsidRDefault="00871830" w:rsidP="00871830">
      <w:pPr>
        <w:pStyle w:val="Akapitzlist"/>
        <w:numPr>
          <w:ilvl w:val="0"/>
          <w:numId w:val="84"/>
        </w:numPr>
        <w:ind w:left="426" w:hanging="426"/>
        <w:rPr>
          <w:rFonts w:eastAsia="Times New Roman"/>
        </w:rPr>
      </w:pPr>
      <w:r w:rsidRPr="00871830">
        <w:rPr>
          <w:rFonts w:eastAsia="Times New Roman"/>
        </w:rPr>
        <w:t>Załącznik nr 8 Klauzula informacyjna art. 13 RODO</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E8091F">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EB9" w:rsidRDefault="00F75EB9" w:rsidP="007407F4">
      <w:r>
        <w:separator/>
      </w:r>
    </w:p>
  </w:endnote>
  <w:endnote w:type="continuationSeparator" w:id="0">
    <w:p w:rsidR="00F75EB9" w:rsidRDefault="00F75EB9"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CC0AF1" w:rsidRDefault="00CC0AF1">
        <w:pPr>
          <w:pStyle w:val="Stopka"/>
          <w:jc w:val="right"/>
        </w:pPr>
        <w:r>
          <w:rPr>
            <w:noProof/>
          </w:rPr>
          <w:fldChar w:fldCharType="begin"/>
        </w:r>
        <w:r>
          <w:rPr>
            <w:noProof/>
          </w:rPr>
          <w:instrText xml:space="preserve"> PAGE   \* MERGEFORMAT </w:instrText>
        </w:r>
        <w:r>
          <w:rPr>
            <w:noProof/>
          </w:rPr>
          <w:fldChar w:fldCharType="separate"/>
        </w:r>
        <w:r>
          <w:rPr>
            <w:noProof/>
          </w:rPr>
          <w:t>31</w:t>
        </w:r>
        <w:r>
          <w:rPr>
            <w:noProof/>
          </w:rPr>
          <w:fldChar w:fldCharType="end"/>
        </w:r>
      </w:p>
    </w:sdtContent>
  </w:sdt>
  <w:p w:rsidR="00CC0AF1" w:rsidRDefault="00CC0A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EB9" w:rsidRDefault="00F75EB9" w:rsidP="007407F4">
      <w:r>
        <w:separator/>
      </w:r>
    </w:p>
  </w:footnote>
  <w:footnote w:type="continuationSeparator" w:id="0">
    <w:p w:rsidR="00F75EB9" w:rsidRDefault="00F75EB9"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7"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B9027E"/>
    <w:multiLevelType w:val="hybridMultilevel"/>
    <w:tmpl w:val="7862CE8E"/>
    <w:lvl w:ilvl="0" w:tplc="8CD2EFC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D9F3156"/>
    <w:multiLevelType w:val="singleLevel"/>
    <w:tmpl w:val="9AFAD750"/>
    <w:lvl w:ilvl="0">
      <w:start w:val="2"/>
      <w:numFmt w:val="decimal"/>
      <w:lvlText w:val="%1."/>
      <w:lvlJc w:val="left"/>
      <w:pPr>
        <w:ind w:left="0" w:firstLine="0"/>
      </w:pPr>
      <w:rPr>
        <w:rFonts w:ascii="Times New Roman" w:hAnsi="Times New Roman" w:cs="Times New Roman" w:hint="default"/>
      </w:rPr>
    </w:lvl>
  </w:abstractNum>
  <w:abstractNum w:abstractNumId="11"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15:restartNumberingAfterBreak="0">
    <w:nsid w:val="0F0E3097"/>
    <w:multiLevelType w:val="hybridMultilevel"/>
    <w:tmpl w:val="88B638E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7"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0"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7"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9"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1"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2" w15:restartNumberingAfterBreak="0">
    <w:nsid w:val="259216F7"/>
    <w:multiLevelType w:val="hybridMultilevel"/>
    <w:tmpl w:val="744853FC"/>
    <w:lvl w:ilvl="0" w:tplc="51302BD4">
      <w:start w:val="1"/>
      <w:numFmt w:val="decimal"/>
      <w:lvlText w:val="%1."/>
      <w:lvlJc w:val="left"/>
      <w:pPr>
        <w:ind w:left="1424" w:hanging="360"/>
      </w:pPr>
      <w:rPr>
        <w:rFonts w:hint="default"/>
        <w:b w:val="0"/>
        <w:i w:val="0"/>
        <w:sz w:val="24"/>
      </w:r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33" w15:restartNumberingAfterBreak="0">
    <w:nsid w:val="26693E05"/>
    <w:multiLevelType w:val="hybridMultilevel"/>
    <w:tmpl w:val="2A30C35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8"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2"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5"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6"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8"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0" w15:restartNumberingAfterBreak="0">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3"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4"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5" w15:restartNumberingAfterBreak="0">
    <w:nsid w:val="4014070D"/>
    <w:multiLevelType w:val="hybridMultilevel"/>
    <w:tmpl w:val="21A419C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8" w15:restartNumberingAfterBreak="0">
    <w:nsid w:val="42FA2706"/>
    <w:multiLevelType w:val="hybridMultilevel"/>
    <w:tmpl w:val="C9BE0B88"/>
    <w:lvl w:ilvl="0" w:tplc="690204C8">
      <w:start w:val="1"/>
      <w:numFmt w:val="lowerLetter"/>
      <w:lvlText w:val="%1)"/>
      <w:lvlJc w:val="left"/>
      <w:pPr>
        <w:ind w:left="720" w:hanging="360"/>
      </w:pPr>
      <w:rPr>
        <w:rFonts w:hint="default"/>
        <w:b w:val="0"/>
        <w:i w:val="0"/>
        <w:color w:val="auto"/>
        <w:sz w:val="24"/>
      </w:rPr>
    </w:lvl>
    <w:lvl w:ilvl="1" w:tplc="E18683A6">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457F84"/>
    <w:multiLevelType w:val="hybridMultilevel"/>
    <w:tmpl w:val="755A7966"/>
    <w:lvl w:ilvl="0" w:tplc="51302BD4">
      <w:start w:val="1"/>
      <w:numFmt w:val="decimal"/>
      <w:lvlText w:val="%1."/>
      <w:lvlJc w:val="left"/>
      <w:pPr>
        <w:ind w:left="1080" w:hanging="360"/>
      </w:pPr>
      <w:rPr>
        <w:rFonts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1"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2"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5"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6" w15:restartNumberingAfterBreak="0">
    <w:nsid w:val="48191FE6"/>
    <w:multiLevelType w:val="hybridMultilevel"/>
    <w:tmpl w:val="BE8A348C"/>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8"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9"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F8453F"/>
    <w:multiLevelType w:val="hybridMultilevel"/>
    <w:tmpl w:val="B11AAFDA"/>
    <w:lvl w:ilvl="0" w:tplc="6F8001D6">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7"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6E55E88"/>
    <w:multiLevelType w:val="hybridMultilevel"/>
    <w:tmpl w:val="A8E4D76E"/>
    <w:lvl w:ilvl="0" w:tplc="B3B82062">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80"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1"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2"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4"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5"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7"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8" w15:restartNumberingAfterBreak="0">
    <w:nsid w:val="613F7D33"/>
    <w:multiLevelType w:val="hybridMultilevel"/>
    <w:tmpl w:val="ECF03ECA"/>
    <w:lvl w:ilvl="0" w:tplc="34F4EF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0"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1" w15:restartNumberingAfterBreak="0">
    <w:nsid w:val="62C61114"/>
    <w:multiLevelType w:val="hybridMultilevel"/>
    <w:tmpl w:val="B532D08C"/>
    <w:lvl w:ilvl="0" w:tplc="A5868C4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31734A3"/>
    <w:multiLevelType w:val="hybridMultilevel"/>
    <w:tmpl w:val="37FE8C4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4"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7"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8"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9"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100"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10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4" w15:restartNumberingAfterBreak="0">
    <w:nsid w:val="75FC108E"/>
    <w:multiLevelType w:val="hybridMultilevel"/>
    <w:tmpl w:val="8F8ED4D2"/>
    <w:lvl w:ilvl="0" w:tplc="690204C8">
      <w:start w:val="1"/>
      <w:numFmt w:val="lowerLetter"/>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76085B85"/>
    <w:multiLevelType w:val="hybridMultilevel"/>
    <w:tmpl w:val="CC96447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7" w15:restartNumberingAfterBreak="0">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9"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11" w15:restartNumberingAfterBreak="0">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3"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4"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9"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20"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1" w15:restartNumberingAfterBreak="0">
    <w:nsid w:val="7F5E13ED"/>
    <w:multiLevelType w:val="hybridMultilevel"/>
    <w:tmpl w:val="2F6EE67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F7B6156"/>
    <w:multiLevelType w:val="hybridMultilevel"/>
    <w:tmpl w:val="377E4290"/>
    <w:lvl w:ilvl="0" w:tplc="AD2282BA">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6"/>
  </w:num>
  <w:num w:numId="2">
    <w:abstractNumId w:val="65"/>
  </w:num>
  <w:num w:numId="3">
    <w:abstractNumId w:val="103"/>
  </w:num>
  <w:num w:numId="4">
    <w:abstractNumId w:val="10"/>
  </w:num>
  <w:num w:numId="5">
    <w:abstractNumId w:val="60"/>
  </w:num>
  <w:num w:numId="6">
    <w:abstractNumId w:val="17"/>
  </w:num>
  <w:num w:numId="7">
    <w:abstractNumId w:val="96"/>
  </w:num>
  <w:num w:numId="8">
    <w:abstractNumId w:val="6"/>
  </w:num>
  <w:num w:numId="9">
    <w:abstractNumId w:val="99"/>
  </w:num>
  <w:num w:numId="10">
    <w:abstractNumId w:val="1"/>
  </w:num>
  <w:num w:numId="11">
    <w:abstractNumId w:val="83"/>
  </w:num>
  <w:num w:numId="12">
    <w:abstractNumId w:val="16"/>
  </w:num>
  <w:num w:numId="13">
    <w:abstractNumId w:val="54"/>
  </w:num>
  <w:num w:numId="14">
    <w:abstractNumId w:val="41"/>
  </w:num>
  <w:num w:numId="15">
    <w:abstractNumId w:val="2"/>
  </w:num>
  <w:num w:numId="16">
    <w:abstractNumId w:val="28"/>
  </w:num>
  <w:num w:numId="17">
    <w:abstractNumId w:val="64"/>
  </w:num>
  <w:num w:numId="18">
    <w:abstractNumId w:val="47"/>
  </w:num>
  <w:num w:numId="19">
    <w:abstractNumId w:val="47"/>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9"/>
  </w:num>
  <w:num w:numId="21">
    <w:abstractNumId w:val="5"/>
  </w:num>
  <w:num w:numId="22">
    <w:abstractNumId w:val="80"/>
  </w:num>
  <w:num w:numId="23">
    <w:abstractNumId w:val="89"/>
  </w:num>
  <w:num w:numId="24">
    <w:abstractNumId w:val="68"/>
  </w:num>
  <w:num w:numId="25">
    <w:abstractNumId w:val="20"/>
  </w:num>
  <w:num w:numId="26">
    <w:abstractNumId w:val="12"/>
  </w:num>
  <w:num w:numId="27">
    <w:abstractNumId w:val="11"/>
  </w:num>
  <w:num w:numId="28">
    <w:abstractNumId w:val="108"/>
  </w:num>
  <w:num w:numId="29">
    <w:abstractNumId w:val="79"/>
  </w:num>
  <w:num w:numId="30">
    <w:abstractNumId w:val="18"/>
  </w:num>
  <w:num w:numId="31">
    <w:abstractNumId w:val="118"/>
  </w:num>
  <w:num w:numId="32">
    <w:abstractNumId w:val="98"/>
  </w:num>
  <w:num w:numId="33">
    <w:abstractNumId w:val="97"/>
  </w:num>
  <w:num w:numId="34">
    <w:abstractNumId w:val="26"/>
  </w:num>
  <w:num w:numId="35">
    <w:abstractNumId w:val="39"/>
  </w:num>
  <w:num w:numId="36">
    <w:abstractNumId w:val="119"/>
  </w:num>
  <w:num w:numId="37">
    <w:abstractNumId w:val="110"/>
  </w:num>
  <w:num w:numId="38">
    <w:abstractNumId w:val="36"/>
  </w:num>
  <w:num w:numId="39">
    <w:abstractNumId w:val="52"/>
  </w:num>
  <w:num w:numId="40">
    <w:abstractNumId w:val="67"/>
  </w:num>
  <w:num w:numId="41">
    <w:abstractNumId w:val="67"/>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7"/>
  </w:num>
  <w:num w:numId="43">
    <w:abstractNumId w:val="45"/>
  </w:num>
  <w:num w:numId="44">
    <w:abstractNumId w:val="21"/>
  </w:num>
  <w:num w:numId="45">
    <w:abstractNumId w:val="37"/>
  </w:num>
  <w:num w:numId="46">
    <w:abstractNumId w:val="95"/>
  </w:num>
  <w:num w:numId="47">
    <w:abstractNumId w:val="19"/>
  </w:num>
  <w:num w:numId="48">
    <w:abstractNumId w:val="81"/>
  </w:num>
  <w:num w:numId="49">
    <w:abstractNumId w:val="53"/>
  </w:num>
  <w:num w:numId="50">
    <w:abstractNumId w:val="113"/>
  </w:num>
  <w:num w:numId="51">
    <w:abstractNumId w:val="57"/>
  </w:num>
  <w:num w:numId="52">
    <w:abstractNumId w:val="85"/>
  </w:num>
  <w:num w:numId="53">
    <w:abstractNumId w:val="85"/>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100"/>
  </w:num>
  <w:num w:numId="56">
    <w:abstractNumId w:val="101"/>
  </w:num>
  <w:num w:numId="57">
    <w:abstractNumId w:val="30"/>
  </w:num>
  <w:num w:numId="58">
    <w:abstractNumId w:val="14"/>
  </w:num>
  <w:num w:numId="59">
    <w:abstractNumId w:val="44"/>
  </w:num>
  <w:num w:numId="60">
    <w:abstractNumId w:val="82"/>
  </w:num>
  <w:num w:numId="61">
    <w:abstractNumId w:val="82"/>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38"/>
  </w:num>
  <w:num w:numId="65">
    <w:abstractNumId w:val="7"/>
  </w:num>
  <w:num w:numId="66">
    <w:abstractNumId w:val="93"/>
  </w:num>
  <w:num w:numId="67">
    <w:abstractNumId w:val="51"/>
  </w:num>
  <w:num w:numId="68">
    <w:abstractNumId w:val="34"/>
  </w:num>
  <w:num w:numId="69">
    <w:abstractNumId w:val="106"/>
  </w:num>
  <w:num w:numId="70">
    <w:abstractNumId w:val="72"/>
  </w:num>
  <w:num w:numId="71">
    <w:abstractNumId w:val="117"/>
  </w:num>
  <w:num w:numId="72">
    <w:abstractNumId w:val="56"/>
  </w:num>
  <w:num w:numId="73">
    <w:abstractNumId w:val="15"/>
  </w:num>
  <w:num w:numId="74">
    <w:abstractNumId w:val="124"/>
  </w:num>
  <w:num w:numId="75">
    <w:abstractNumId w:val="29"/>
  </w:num>
  <w:num w:numId="76">
    <w:abstractNumId w:val="123"/>
  </w:num>
  <w:num w:numId="77">
    <w:abstractNumId w:val="62"/>
  </w:num>
  <w:num w:numId="78">
    <w:abstractNumId w:val="9"/>
  </w:num>
  <w:num w:numId="79">
    <w:abstractNumId w:val="69"/>
  </w:num>
  <w:num w:numId="80">
    <w:abstractNumId w:val="40"/>
  </w:num>
  <w:num w:numId="81">
    <w:abstractNumId w:val="75"/>
  </w:num>
  <w:num w:numId="82">
    <w:abstractNumId w:val="102"/>
  </w:num>
  <w:num w:numId="83">
    <w:abstractNumId w:val="27"/>
  </w:num>
  <w:num w:numId="84">
    <w:abstractNumId w:val="74"/>
  </w:num>
  <w:num w:numId="85">
    <w:abstractNumId w:val="114"/>
  </w:num>
  <w:num w:numId="86">
    <w:abstractNumId w:val="42"/>
  </w:num>
  <w:num w:numId="87">
    <w:abstractNumId w:val="23"/>
  </w:num>
  <w:num w:numId="88">
    <w:abstractNumId w:val="33"/>
  </w:num>
  <w:num w:numId="89">
    <w:abstractNumId w:val="48"/>
  </w:num>
  <w:num w:numId="90">
    <w:abstractNumId w:val="50"/>
  </w:num>
  <w:num w:numId="91">
    <w:abstractNumId w:val="31"/>
  </w:num>
  <w:num w:numId="92">
    <w:abstractNumId w:val="90"/>
  </w:num>
  <w:num w:numId="93">
    <w:abstractNumId w:val="63"/>
  </w:num>
  <w:num w:numId="94">
    <w:abstractNumId w:val="115"/>
  </w:num>
  <w:num w:numId="95">
    <w:abstractNumId w:val="107"/>
  </w:num>
  <w:num w:numId="96">
    <w:abstractNumId w:val="70"/>
  </w:num>
  <w:num w:numId="97">
    <w:abstractNumId w:val="73"/>
  </w:num>
  <w:num w:numId="98">
    <w:abstractNumId w:val="46"/>
  </w:num>
  <w:num w:numId="99">
    <w:abstractNumId w:val="84"/>
  </w:num>
  <w:num w:numId="100">
    <w:abstractNumId w:val="109"/>
  </w:num>
  <w:num w:numId="101">
    <w:abstractNumId w:val="111"/>
  </w:num>
  <w:num w:numId="102">
    <w:abstractNumId w:val="35"/>
  </w:num>
  <w:num w:numId="103">
    <w:abstractNumId w:val="55"/>
  </w:num>
  <w:num w:numId="104">
    <w:abstractNumId w:val="3"/>
  </w:num>
  <w:num w:numId="105">
    <w:abstractNumId w:val="43"/>
  </w:num>
  <w:num w:numId="106">
    <w:abstractNumId w:val="13"/>
  </w:num>
  <w:num w:numId="107">
    <w:abstractNumId w:val="121"/>
  </w:num>
  <w:num w:numId="108">
    <w:abstractNumId w:val="66"/>
  </w:num>
  <w:num w:numId="109">
    <w:abstractNumId w:val="105"/>
  </w:num>
  <w:num w:numId="110">
    <w:abstractNumId w:val="104"/>
  </w:num>
  <w:num w:numId="111">
    <w:abstractNumId w:val="77"/>
  </w:num>
  <w:num w:numId="112">
    <w:abstractNumId w:val="116"/>
  </w:num>
  <w:num w:numId="113">
    <w:abstractNumId w:val="120"/>
  </w:num>
  <w:num w:numId="114">
    <w:abstractNumId w:val="112"/>
  </w:num>
  <w:num w:numId="115">
    <w:abstractNumId w:val="76"/>
  </w:num>
  <w:num w:numId="116">
    <w:abstractNumId w:val="4"/>
  </w:num>
  <w:num w:numId="117">
    <w:abstractNumId w:val="94"/>
  </w:num>
  <w:num w:numId="118">
    <w:abstractNumId w:val="61"/>
  </w:num>
  <w:num w:numId="119">
    <w:abstractNumId w:val="22"/>
  </w:num>
  <w:num w:numId="120">
    <w:abstractNumId w:val="92"/>
  </w:num>
  <w:num w:numId="121">
    <w:abstractNumId w:val="58"/>
  </w:num>
  <w:num w:numId="122">
    <w:abstractNumId w:val="122"/>
  </w:num>
  <w:num w:numId="123">
    <w:abstractNumId w:val="78"/>
  </w:num>
  <w:num w:numId="124">
    <w:abstractNumId w:val="71"/>
  </w:num>
  <w:num w:numId="125">
    <w:abstractNumId w:val="32"/>
  </w:num>
  <w:num w:numId="126">
    <w:abstractNumId w:val="59"/>
  </w:num>
  <w:num w:numId="127">
    <w:abstractNumId w:val="88"/>
  </w:num>
  <w:num w:numId="128">
    <w:abstractNumId w:val="91"/>
  </w:num>
  <w:num w:numId="129">
    <w:abstractNumId w:val="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47738"/>
    <w:rsid w:val="00093EC4"/>
    <w:rsid w:val="000A2D29"/>
    <w:rsid w:val="000E6C0E"/>
    <w:rsid w:val="000F34F5"/>
    <w:rsid w:val="000F555B"/>
    <w:rsid w:val="00112B14"/>
    <w:rsid w:val="00121C16"/>
    <w:rsid w:val="00122A05"/>
    <w:rsid w:val="001510BD"/>
    <w:rsid w:val="001570AB"/>
    <w:rsid w:val="001647D4"/>
    <w:rsid w:val="00174188"/>
    <w:rsid w:val="00174571"/>
    <w:rsid w:val="00186101"/>
    <w:rsid w:val="001906CD"/>
    <w:rsid w:val="00195F15"/>
    <w:rsid w:val="001966FC"/>
    <w:rsid w:val="001E0B12"/>
    <w:rsid w:val="001F3DD8"/>
    <w:rsid w:val="001F6AD2"/>
    <w:rsid w:val="00202FB6"/>
    <w:rsid w:val="002161B9"/>
    <w:rsid w:val="00241B5E"/>
    <w:rsid w:val="00254100"/>
    <w:rsid w:val="002560D2"/>
    <w:rsid w:val="002943E9"/>
    <w:rsid w:val="002B38A0"/>
    <w:rsid w:val="002C2827"/>
    <w:rsid w:val="002E39AF"/>
    <w:rsid w:val="003050F9"/>
    <w:rsid w:val="003136A1"/>
    <w:rsid w:val="003238D6"/>
    <w:rsid w:val="00346AF6"/>
    <w:rsid w:val="00353875"/>
    <w:rsid w:val="00355E61"/>
    <w:rsid w:val="00362CC1"/>
    <w:rsid w:val="00380F35"/>
    <w:rsid w:val="0038733C"/>
    <w:rsid w:val="00392DBF"/>
    <w:rsid w:val="003A2ED9"/>
    <w:rsid w:val="003C0E7F"/>
    <w:rsid w:val="00413BCD"/>
    <w:rsid w:val="00425457"/>
    <w:rsid w:val="00452295"/>
    <w:rsid w:val="00460D77"/>
    <w:rsid w:val="004A3134"/>
    <w:rsid w:val="004B4C1F"/>
    <w:rsid w:val="004B69B9"/>
    <w:rsid w:val="004C0026"/>
    <w:rsid w:val="004D13AE"/>
    <w:rsid w:val="00501A0E"/>
    <w:rsid w:val="0050406E"/>
    <w:rsid w:val="00560FB2"/>
    <w:rsid w:val="0056182C"/>
    <w:rsid w:val="00567372"/>
    <w:rsid w:val="00574BD8"/>
    <w:rsid w:val="005D6B65"/>
    <w:rsid w:val="005F18DC"/>
    <w:rsid w:val="00607020"/>
    <w:rsid w:val="00607E90"/>
    <w:rsid w:val="00626734"/>
    <w:rsid w:val="00632AD8"/>
    <w:rsid w:val="00654E94"/>
    <w:rsid w:val="00684625"/>
    <w:rsid w:val="006D503B"/>
    <w:rsid w:val="006F5BAA"/>
    <w:rsid w:val="0070498E"/>
    <w:rsid w:val="00720831"/>
    <w:rsid w:val="00737F77"/>
    <w:rsid w:val="007407F4"/>
    <w:rsid w:val="00746066"/>
    <w:rsid w:val="00761C6B"/>
    <w:rsid w:val="0078093E"/>
    <w:rsid w:val="00792654"/>
    <w:rsid w:val="007F629C"/>
    <w:rsid w:val="00842A25"/>
    <w:rsid w:val="008508CA"/>
    <w:rsid w:val="00871830"/>
    <w:rsid w:val="00892A87"/>
    <w:rsid w:val="008945AB"/>
    <w:rsid w:val="008954AB"/>
    <w:rsid w:val="008B362D"/>
    <w:rsid w:val="008B65D1"/>
    <w:rsid w:val="008C08EA"/>
    <w:rsid w:val="008D74EF"/>
    <w:rsid w:val="008E6489"/>
    <w:rsid w:val="0095247B"/>
    <w:rsid w:val="009641D6"/>
    <w:rsid w:val="009932ED"/>
    <w:rsid w:val="00997133"/>
    <w:rsid w:val="009A06B9"/>
    <w:rsid w:val="009C2227"/>
    <w:rsid w:val="009D2AFC"/>
    <w:rsid w:val="009D38AE"/>
    <w:rsid w:val="009D6FA1"/>
    <w:rsid w:val="009F6A6A"/>
    <w:rsid w:val="00A03CD7"/>
    <w:rsid w:val="00A3591D"/>
    <w:rsid w:val="00A3760C"/>
    <w:rsid w:val="00B07E98"/>
    <w:rsid w:val="00B34C84"/>
    <w:rsid w:val="00B42685"/>
    <w:rsid w:val="00B50764"/>
    <w:rsid w:val="00B66267"/>
    <w:rsid w:val="00B940E7"/>
    <w:rsid w:val="00BB4045"/>
    <w:rsid w:val="00C16DEA"/>
    <w:rsid w:val="00C43B78"/>
    <w:rsid w:val="00CA6517"/>
    <w:rsid w:val="00CA73BF"/>
    <w:rsid w:val="00CB098C"/>
    <w:rsid w:val="00CB61FE"/>
    <w:rsid w:val="00CC0AF1"/>
    <w:rsid w:val="00CE34D5"/>
    <w:rsid w:val="00CE65AB"/>
    <w:rsid w:val="00D24B23"/>
    <w:rsid w:val="00D30243"/>
    <w:rsid w:val="00D30A3E"/>
    <w:rsid w:val="00D44B9F"/>
    <w:rsid w:val="00D64D3B"/>
    <w:rsid w:val="00D7128F"/>
    <w:rsid w:val="00D72A6B"/>
    <w:rsid w:val="00D7567E"/>
    <w:rsid w:val="00D81A0D"/>
    <w:rsid w:val="00DB2405"/>
    <w:rsid w:val="00E2187A"/>
    <w:rsid w:val="00E22A62"/>
    <w:rsid w:val="00E92377"/>
    <w:rsid w:val="00EA1A59"/>
    <w:rsid w:val="00EA6949"/>
    <w:rsid w:val="00EC5832"/>
    <w:rsid w:val="00EE4097"/>
    <w:rsid w:val="00EE6BEC"/>
    <w:rsid w:val="00EF5090"/>
    <w:rsid w:val="00F110E2"/>
    <w:rsid w:val="00F11414"/>
    <w:rsid w:val="00F1170A"/>
    <w:rsid w:val="00F25262"/>
    <w:rsid w:val="00F41D83"/>
    <w:rsid w:val="00F75EB9"/>
    <w:rsid w:val="00FA712B"/>
    <w:rsid w:val="00FB60F2"/>
    <w:rsid w:val="00FE10A6"/>
    <w:rsid w:val="00FE67F2"/>
    <w:rsid w:val="00FE6F39"/>
    <w:rsid w:val="00FF0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3F73"/>
  <w15:docId w15:val="{88080F3C-3108-4E0C-9813-E46AD68D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 w:type="character" w:customStyle="1" w:styleId="Teksttreci4">
    <w:name w:val="Tekst treści (4)_"/>
    <w:basedOn w:val="Domylnaczcionkaakapitu"/>
    <w:link w:val="Teksttreci40"/>
    <w:rsid w:val="0056182C"/>
    <w:rPr>
      <w:rFonts w:ascii="Arial Narrow" w:eastAsia="Arial Narrow" w:hAnsi="Arial Narrow" w:cs="Arial Narrow"/>
      <w:sz w:val="20"/>
      <w:szCs w:val="20"/>
      <w:shd w:val="clear" w:color="auto" w:fill="FFFFFF"/>
    </w:rPr>
  </w:style>
  <w:style w:type="paragraph" w:customStyle="1" w:styleId="Teksttreci40">
    <w:name w:val="Tekst treści (4)"/>
    <w:basedOn w:val="Normalny"/>
    <w:link w:val="Teksttreci4"/>
    <w:rsid w:val="0056182C"/>
    <w:pPr>
      <w:shd w:val="clear" w:color="auto" w:fill="FFFFFF"/>
      <w:autoSpaceDE/>
      <w:autoSpaceDN/>
      <w:adjustRightInd/>
    </w:pPr>
    <w:rPr>
      <w:rFonts w:ascii="Arial Narrow" w:eastAsia="Arial Narrow" w:hAnsi="Arial Narrow" w:cs="Arial Narro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79B51-FC02-4A39-9776-FB4D1F1A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Pages>
  <Words>11593</Words>
  <Characters>69559</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38</cp:revision>
  <cp:lastPrinted>2017-06-19T08:39:00Z</cp:lastPrinted>
  <dcterms:created xsi:type="dcterms:W3CDTF">2017-05-30T11:45:00Z</dcterms:created>
  <dcterms:modified xsi:type="dcterms:W3CDTF">2019-03-28T07:18:00Z</dcterms:modified>
</cp:coreProperties>
</file>