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4B4D54">
        <w:t>3</w:t>
      </w:r>
      <w:r w:rsidR="0064348B">
        <w:t>1</w:t>
      </w:r>
      <w:bookmarkStart w:id="0" w:name="_GoBack"/>
      <w:bookmarkEnd w:id="0"/>
      <w:r w:rsidR="001B0C56">
        <w:t xml:space="preserve"> 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64348B">
        <w:rPr>
          <w:b/>
        </w:rPr>
        <w:t>TOMASZEWO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64348B">
        <w:t>Tomaszewo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64348B">
        <w:t>Tomaszewo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64348B">
        <w:t>Tomaszewo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64348B">
        <w:t>Tomaszewo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64348B">
        <w:t>Tomaszewo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64348B">
        <w:t>Tomaszewo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64348B">
        <w:t>Tomaszewo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64348B">
        <w:t>Tomaszewo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64348B">
        <w:t>Tomaszewo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740" w:rsidRDefault="005F6740">
      <w:pPr>
        <w:spacing w:after="0" w:line="240" w:lineRule="auto"/>
      </w:pPr>
      <w:r>
        <w:separator/>
      </w:r>
    </w:p>
  </w:endnote>
  <w:endnote w:type="continuationSeparator" w:id="0">
    <w:p w:rsidR="005F6740" w:rsidRDefault="005F6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740" w:rsidRDefault="005F6740">
      <w:pPr>
        <w:spacing w:after="0" w:line="240" w:lineRule="auto"/>
      </w:pPr>
      <w:r>
        <w:separator/>
      </w:r>
    </w:p>
  </w:footnote>
  <w:footnote w:type="continuationSeparator" w:id="0">
    <w:p w:rsidR="005F6740" w:rsidRDefault="005F6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5F6740"/>
    <w:rsid w:val="00633338"/>
    <w:rsid w:val="0063543A"/>
    <w:rsid w:val="0064348B"/>
    <w:rsid w:val="0067298E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6ABF6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4146</Words>
  <Characters>24882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2019-01-31T13:32:00Z</dcterms:modified>
</cp:coreProperties>
</file>