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306E9D">
        <w:rPr>
          <w:rStyle w:val="FontStyle13"/>
          <w:color w:val="auto"/>
          <w:sz w:val="24"/>
        </w:rPr>
        <w:t>8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2D4BD3" w:rsidRPr="002D4BD3">
        <w:rPr>
          <w:b/>
        </w:rPr>
        <w:t>Budowa Otwartej Strefy Aktywności w miejscowości Radomice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F92412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F92412">
        <w:rPr>
          <w:b/>
        </w:rPr>
        <w:t xml:space="preserve">do </w:t>
      </w:r>
      <w:r w:rsidR="00DB3E96">
        <w:rPr>
          <w:b/>
        </w:rPr>
        <w:t>1</w:t>
      </w:r>
      <w:r w:rsidR="004B35FF">
        <w:rPr>
          <w:b/>
        </w:rPr>
        <w:t>5</w:t>
      </w:r>
      <w:r w:rsidRPr="00F92412">
        <w:rPr>
          <w:b/>
        </w:rPr>
        <w:t xml:space="preserve"> </w:t>
      </w:r>
      <w:r w:rsidR="00DB3E96">
        <w:rPr>
          <w:b/>
        </w:rPr>
        <w:t>października</w:t>
      </w:r>
      <w:r w:rsidR="009B2BA0">
        <w:rPr>
          <w:b/>
        </w:rPr>
        <w:t xml:space="preserve"> </w:t>
      </w:r>
      <w:r w:rsidRPr="00F92412">
        <w:rPr>
          <w:b/>
        </w:rPr>
        <w:t>201</w:t>
      </w:r>
      <w:r w:rsidR="009B2BA0">
        <w:rPr>
          <w:b/>
        </w:rPr>
        <w:t>8</w:t>
      </w:r>
      <w:r w:rsidRPr="00F92412">
        <w:rPr>
          <w:b/>
        </w:rPr>
        <w:t xml:space="preserve"> r.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Zamawiającego lub Inspektora nadzoru inwestorskiego, certyfikatów zgodności z normami lub aprobatami technicznymi każdego używanego na budowie wyrobu. Wyroby winny być 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Pr="00324656">
        <w:rPr>
          <w:noProof/>
          <w:color w:val="000000"/>
          <w:sz w:val="24"/>
          <w:szCs w:val="24"/>
        </w:rPr>
        <w:t>̇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lastRenderedPageBreak/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potwierdzenie powinno zawierać zakres wykonanych prac, zestawienie kwot, które </w:t>
      </w:r>
      <w:r w:rsidRPr="007F4A20">
        <w:rPr>
          <w:rStyle w:val="FontStyle77"/>
          <w:sz w:val="24"/>
          <w:szCs w:val="24"/>
        </w:rPr>
        <w:lastRenderedPageBreak/>
        <w:t>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proofErr w:type="spellStart"/>
      <w:r>
        <w:rPr>
          <w:rStyle w:val="FontStyle77"/>
          <w:sz w:val="24"/>
          <w:szCs w:val="24"/>
        </w:rPr>
        <w:t>pkt</w:t>
      </w:r>
      <w:proofErr w:type="spellEnd"/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lastRenderedPageBreak/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</w:t>
      </w:r>
      <w:proofErr w:type="spellStart"/>
      <w:r w:rsidRPr="00790B73">
        <w:rPr>
          <w:rStyle w:val="FontStyle44"/>
          <w:sz w:val="24"/>
          <w:szCs w:val="24"/>
        </w:rPr>
        <w:t>zanonimizowana</w:t>
      </w:r>
      <w:proofErr w:type="spellEnd"/>
      <w:r w:rsidRPr="00790B73">
        <w:rPr>
          <w:rStyle w:val="FontStyle44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Z tytułu niespełnienia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>
        <w:rPr>
          <w:rStyle w:val="FontStyle44"/>
          <w:sz w:val="24"/>
          <w:szCs w:val="24"/>
        </w:rPr>
        <w:t xml:space="preserve">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publicznego. Niezłożenie przez wykonawcę w wyznaczonym przez zamawiającego </w:t>
      </w:r>
      <w:r w:rsidRPr="00790B73">
        <w:rPr>
          <w:rStyle w:val="FontStyle44"/>
          <w:sz w:val="24"/>
          <w:szCs w:val="24"/>
        </w:rPr>
        <w:lastRenderedPageBreak/>
        <w:t>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przedmiotem są roboty budowlane, lub projektu jej zmiany w wysokości 1% </w:t>
      </w:r>
      <w:r w:rsidRPr="00695757">
        <w:rPr>
          <w:rStyle w:val="FontStyle77"/>
          <w:color w:val="auto"/>
          <w:sz w:val="24"/>
        </w:rPr>
        <w:lastRenderedPageBreak/>
        <w:t xml:space="preserve">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Wykonawca realizuje roboty przewidziane niniejszą umową w sposób niezgodny z </w:t>
      </w:r>
      <w:r w:rsidRPr="008619C7">
        <w:rPr>
          <w:rStyle w:val="FontStyle77"/>
          <w:sz w:val="24"/>
          <w:szCs w:val="24"/>
        </w:rPr>
        <w:lastRenderedPageBreak/>
        <w:t>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toku wraz z zestawieniem wartości wykonanych robót według stanu na dzień </w:t>
      </w:r>
      <w:r w:rsidRPr="008619C7">
        <w:rPr>
          <w:rStyle w:val="FontStyle77"/>
          <w:sz w:val="24"/>
          <w:szCs w:val="24"/>
        </w:rPr>
        <w:lastRenderedPageBreak/>
        <w:t>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podwykonawców Wykonawca zobowiązuje się pod rygorem kar umownych do </w:t>
      </w:r>
      <w:r w:rsidRPr="00C246EC">
        <w:rPr>
          <w:rStyle w:val="FontStyle77"/>
          <w:color w:val="auto"/>
          <w:sz w:val="24"/>
        </w:rPr>
        <w:lastRenderedPageBreak/>
        <w:t>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lastRenderedPageBreak/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zwalnia Zamawiającego z wszelkiej odpowiedzialności z tytułu </w:t>
      </w:r>
      <w:r w:rsidRPr="003F532E">
        <w:rPr>
          <w:rStyle w:val="FontStyle77"/>
          <w:sz w:val="24"/>
          <w:szCs w:val="24"/>
        </w:rPr>
        <w:lastRenderedPageBreak/>
        <w:t>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odpowiada za wady w wykonaniu przedmiotu umowy również po okresie </w:t>
      </w:r>
      <w:r w:rsidRPr="003F532E">
        <w:rPr>
          <w:rStyle w:val="FontStyle77"/>
          <w:sz w:val="24"/>
          <w:szCs w:val="24"/>
        </w:rPr>
        <w:lastRenderedPageBreak/>
        <w:t>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oferty, na podstawie której dokonano wyboru Wykonawcy, w przypadku wystąpienia co </w:t>
      </w:r>
      <w:r w:rsidRPr="003F532E">
        <w:rPr>
          <w:rStyle w:val="FontStyle77"/>
          <w:sz w:val="24"/>
          <w:szCs w:val="24"/>
        </w:rPr>
        <w:lastRenderedPageBreak/>
        <w:t>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</w:t>
      </w:r>
      <w:proofErr w:type="spellStart"/>
      <w:r w:rsidRPr="003F532E">
        <w:rPr>
          <w:rStyle w:val="FontStyle77"/>
          <w:sz w:val="24"/>
          <w:szCs w:val="24"/>
        </w:rPr>
        <w:t>pkt</w:t>
      </w:r>
      <w:proofErr w:type="spellEnd"/>
      <w:r w:rsidRPr="003F532E">
        <w:rPr>
          <w:rStyle w:val="FontStyle77"/>
          <w:sz w:val="24"/>
          <w:szCs w:val="24"/>
        </w:rPr>
        <w:t xml:space="preserve">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w formie pisemnej pod rygorem nieważności. Faktury wystawiane w toku realizacji </w:t>
      </w:r>
      <w:r w:rsidRPr="003F532E">
        <w:rPr>
          <w:rStyle w:val="FontStyle77"/>
          <w:sz w:val="24"/>
          <w:szCs w:val="24"/>
        </w:rPr>
        <w:lastRenderedPageBreak/>
        <w:t>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B91" w:rsidRDefault="009F6B91" w:rsidP="00FD5E67">
      <w:r>
        <w:separator/>
      </w:r>
    </w:p>
  </w:endnote>
  <w:endnote w:type="continuationSeparator" w:id="0">
    <w:p w:rsidR="009F6B91" w:rsidRDefault="009F6B91" w:rsidP="00F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B91" w:rsidRDefault="009F6B91" w:rsidP="00FD5E67">
      <w:r>
        <w:separator/>
      </w:r>
    </w:p>
  </w:footnote>
  <w:footnote w:type="continuationSeparator" w:id="0">
    <w:p w:rsidR="009F6B91" w:rsidRDefault="009F6B91" w:rsidP="00F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BA7"/>
    <w:rsid w:val="00013128"/>
    <w:rsid w:val="00014BA7"/>
    <w:rsid w:val="000413E6"/>
    <w:rsid w:val="00086E91"/>
    <w:rsid w:val="00087CF4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1276E"/>
    <w:rsid w:val="0027315A"/>
    <w:rsid w:val="002838ED"/>
    <w:rsid w:val="002D4BD3"/>
    <w:rsid w:val="002E01BA"/>
    <w:rsid w:val="00306E9D"/>
    <w:rsid w:val="00310AFD"/>
    <w:rsid w:val="00376013"/>
    <w:rsid w:val="00390DD6"/>
    <w:rsid w:val="003F532E"/>
    <w:rsid w:val="004302FD"/>
    <w:rsid w:val="0046292E"/>
    <w:rsid w:val="004B35FF"/>
    <w:rsid w:val="005C34FA"/>
    <w:rsid w:val="00610DE3"/>
    <w:rsid w:val="0064536C"/>
    <w:rsid w:val="00670CC0"/>
    <w:rsid w:val="0068312B"/>
    <w:rsid w:val="00695757"/>
    <w:rsid w:val="0071745B"/>
    <w:rsid w:val="007F4A20"/>
    <w:rsid w:val="00837607"/>
    <w:rsid w:val="008408B6"/>
    <w:rsid w:val="0086165B"/>
    <w:rsid w:val="008619C7"/>
    <w:rsid w:val="008C4C20"/>
    <w:rsid w:val="00946E36"/>
    <w:rsid w:val="009B2BA0"/>
    <w:rsid w:val="009D268F"/>
    <w:rsid w:val="009F6B91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56A1"/>
    <w:rsid w:val="00CE5454"/>
    <w:rsid w:val="00CE6297"/>
    <w:rsid w:val="00D7128F"/>
    <w:rsid w:val="00D8305F"/>
    <w:rsid w:val="00D85146"/>
    <w:rsid w:val="00DB3E96"/>
    <w:rsid w:val="00E57A60"/>
    <w:rsid w:val="00E660BB"/>
    <w:rsid w:val="00EE29E8"/>
    <w:rsid w:val="00EE7310"/>
    <w:rsid w:val="00F06C5E"/>
    <w:rsid w:val="00F822D4"/>
    <w:rsid w:val="00F87A4E"/>
    <w:rsid w:val="00F92412"/>
    <w:rsid w:val="00F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D0C2-1F99-427F-BAF7-58202DB8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5527</Words>
  <Characters>33165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cp:lastPrinted>2017-06-07T05:42:00Z</cp:lastPrinted>
  <dcterms:created xsi:type="dcterms:W3CDTF">2017-05-31T10:18:00Z</dcterms:created>
  <dcterms:modified xsi:type="dcterms:W3CDTF">2018-08-08T09:55:00Z</dcterms:modified>
</cp:coreProperties>
</file>