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E5AB8" w14:textId="77777777" w:rsidR="00922D46" w:rsidRPr="00584CA8" w:rsidRDefault="00922D46" w:rsidP="00922D46">
      <w:pPr>
        <w:pStyle w:val="NormalnyWeb"/>
        <w:spacing w:before="120" w:after="120" w:line="276" w:lineRule="auto"/>
        <w:jc w:val="center"/>
        <w:outlineLvl w:val="0"/>
        <w:rPr>
          <w:rFonts w:ascii="Arial" w:hAnsi="Arial" w:cs="Arial"/>
          <w:sz w:val="22"/>
          <w:szCs w:val="22"/>
        </w:rPr>
      </w:pPr>
      <w:r w:rsidRPr="00584CA8">
        <w:rPr>
          <w:rStyle w:val="Pogrubienie"/>
          <w:rFonts w:ascii="Arial" w:hAnsi="Arial" w:cs="Arial"/>
          <w:sz w:val="22"/>
          <w:szCs w:val="22"/>
        </w:rPr>
        <w:t>OBWIESZCZENIE</w:t>
      </w:r>
    </w:p>
    <w:p w14:paraId="172A2E76" w14:textId="2FDBD8EA" w:rsidR="00922D46" w:rsidRPr="00584CA8" w:rsidRDefault="00E25ED8" w:rsidP="00922D46">
      <w:pPr>
        <w:pStyle w:val="NormalnyWeb"/>
        <w:spacing w:before="120" w:after="120" w:line="276" w:lineRule="auto"/>
        <w:jc w:val="center"/>
        <w:rPr>
          <w:rStyle w:val="Pogrubienie"/>
          <w:rFonts w:ascii="Arial" w:hAnsi="Arial" w:cs="Arial"/>
          <w:b w:val="0"/>
          <w:sz w:val="22"/>
          <w:szCs w:val="22"/>
        </w:rPr>
      </w:pPr>
      <w:r w:rsidRPr="00584CA8">
        <w:rPr>
          <w:rStyle w:val="Pogrubienie"/>
          <w:rFonts w:ascii="Arial" w:hAnsi="Arial" w:cs="Arial"/>
          <w:sz w:val="22"/>
          <w:szCs w:val="22"/>
        </w:rPr>
        <w:t>o odstąpieniu od</w:t>
      </w:r>
      <w:r w:rsidR="00922D46" w:rsidRPr="00584CA8">
        <w:rPr>
          <w:rStyle w:val="Pogrubienie"/>
          <w:rFonts w:ascii="Arial" w:hAnsi="Arial" w:cs="Arial"/>
          <w:sz w:val="22"/>
          <w:szCs w:val="22"/>
        </w:rPr>
        <w:t xml:space="preserve"> przeprowadzenia strategicznej oceny oddziaływania na środowisko dla projektu </w:t>
      </w:r>
      <w:r w:rsidR="00922D46" w:rsidRPr="00584CA8">
        <w:rPr>
          <w:rFonts w:ascii="Arial" w:hAnsi="Arial" w:cs="Arial"/>
          <w:b/>
          <w:sz w:val="22"/>
          <w:szCs w:val="22"/>
        </w:rPr>
        <w:t>„</w:t>
      </w:r>
      <w:r w:rsidR="00172ACC" w:rsidRPr="00584CA8">
        <w:rPr>
          <w:rFonts w:ascii="Arial" w:hAnsi="Arial" w:cs="Arial"/>
          <w:b/>
          <w:sz w:val="22"/>
          <w:szCs w:val="22"/>
        </w:rPr>
        <w:t xml:space="preserve">Strategii Rozwoju Gminy </w:t>
      </w:r>
      <w:r w:rsidR="00270EAF">
        <w:rPr>
          <w:rFonts w:ascii="Arial" w:hAnsi="Arial" w:cs="Arial"/>
          <w:b/>
          <w:sz w:val="22"/>
          <w:szCs w:val="22"/>
        </w:rPr>
        <w:t>Lipno</w:t>
      </w:r>
      <w:r w:rsidR="00172ACC" w:rsidRPr="00584CA8">
        <w:rPr>
          <w:rFonts w:ascii="Arial" w:hAnsi="Arial" w:cs="Arial"/>
          <w:b/>
          <w:sz w:val="22"/>
          <w:szCs w:val="22"/>
        </w:rPr>
        <w:t xml:space="preserve"> na lata 202</w:t>
      </w:r>
      <w:r w:rsidR="00270EAF">
        <w:rPr>
          <w:rFonts w:ascii="Arial" w:hAnsi="Arial" w:cs="Arial"/>
          <w:b/>
          <w:sz w:val="22"/>
          <w:szCs w:val="22"/>
        </w:rPr>
        <w:t>2</w:t>
      </w:r>
      <w:r w:rsidR="00172ACC" w:rsidRPr="00584CA8">
        <w:rPr>
          <w:rFonts w:ascii="Arial" w:hAnsi="Arial" w:cs="Arial"/>
          <w:b/>
          <w:sz w:val="22"/>
          <w:szCs w:val="22"/>
        </w:rPr>
        <w:t>-20</w:t>
      </w:r>
      <w:r w:rsidR="00865028" w:rsidRPr="00584CA8">
        <w:rPr>
          <w:rFonts w:ascii="Arial" w:hAnsi="Arial" w:cs="Arial"/>
          <w:b/>
          <w:sz w:val="22"/>
          <w:szCs w:val="22"/>
        </w:rPr>
        <w:t>30</w:t>
      </w:r>
      <w:r w:rsidR="00922D46" w:rsidRPr="00584CA8">
        <w:rPr>
          <w:rFonts w:ascii="Arial" w:hAnsi="Arial" w:cs="Arial"/>
          <w:b/>
          <w:sz w:val="22"/>
          <w:szCs w:val="22"/>
        </w:rPr>
        <w:t xml:space="preserve">” </w:t>
      </w:r>
    </w:p>
    <w:p w14:paraId="5131AD94" w14:textId="32E58FC3" w:rsidR="00E25ED8" w:rsidRPr="00DF5E10" w:rsidRDefault="00922D46" w:rsidP="006769FA">
      <w:pPr>
        <w:spacing w:before="120" w:after="120"/>
        <w:jc w:val="both"/>
        <w:rPr>
          <w:rFonts w:ascii="Arial" w:hAnsi="Arial" w:cs="Arial"/>
          <w:bCs/>
          <w:sz w:val="21"/>
          <w:szCs w:val="21"/>
          <w:lang w:val="pl-PL"/>
        </w:rPr>
      </w:pPr>
      <w:r w:rsidRPr="00DF5E10">
        <w:rPr>
          <w:rFonts w:ascii="Arial" w:hAnsi="Arial" w:cs="Arial"/>
          <w:bCs/>
          <w:sz w:val="21"/>
          <w:szCs w:val="21"/>
          <w:lang w:val="pl-PL"/>
        </w:rPr>
        <w:t xml:space="preserve">Zgodnie z zapisem w art. 48 ust. 1 </w:t>
      </w:r>
      <w:r w:rsidR="00E25ED8" w:rsidRPr="00DF5E10">
        <w:rPr>
          <w:rFonts w:ascii="Arial" w:hAnsi="Arial" w:cs="Arial"/>
          <w:sz w:val="21"/>
          <w:szCs w:val="21"/>
          <w:lang w:val="pl-PL"/>
        </w:rPr>
        <w:t>ustawy z dnia 3 października 2008 r. o udostępnianiu informacji o środowisku i jego ochronie, udziale społeczeństwa w ochronie środowiska oraz o ocenach oddziaływania na środowisko (Dz.U. 2021 poz. 2</w:t>
      </w:r>
      <w:r w:rsidR="005E067E" w:rsidRPr="00DF5E10">
        <w:rPr>
          <w:rFonts w:ascii="Arial" w:hAnsi="Arial" w:cs="Arial"/>
          <w:sz w:val="21"/>
          <w:szCs w:val="21"/>
          <w:lang w:val="pl-PL"/>
        </w:rPr>
        <w:t>3</w:t>
      </w:r>
      <w:r w:rsidR="00E25ED8" w:rsidRPr="00DF5E10">
        <w:rPr>
          <w:rFonts w:ascii="Arial" w:hAnsi="Arial" w:cs="Arial"/>
          <w:sz w:val="21"/>
          <w:szCs w:val="21"/>
          <w:lang w:val="pl-PL"/>
        </w:rPr>
        <w:t>7</w:t>
      </w:r>
      <w:r w:rsidR="005E067E" w:rsidRPr="00DF5E10">
        <w:rPr>
          <w:rFonts w:ascii="Arial" w:hAnsi="Arial" w:cs="Arial"/>
          <w:sz w:val="21"/>
          <w:szCs w:val="21"/>
          <w:lang w:val="pl-PL"/>
        </w:rPr>
        <w:t>3</w:t>
      </w:r>
      <w:r w:rsidR="00E25ED8" w:rsidRPr="00DF5E10">
        <w:rPr>
          <w:rFonts w:ascii="Arial" w:hAnsi="Arial" w:cs="Arial"/>
          <w:sz w:val="21"/>
          <w:szCs w:val="21"/>
          <w:lang w:val="pl-PL"/>
        </w:rPr>
        <w:t xml:space="preserve"> ze zm.), o</w:t>
      </w:r>
      <w:r w:rsidRPr="00DF5E10">
        <w:rPr>
          <w:rFonts w:ascii="Arial" w:hAnsi="Arial" w:cs="Arial"/>
          <w:bCs/>
          <w:sz w:val="21"/>
          <w:szCs w:val="21"/>
          <w:lang w:val="pl-PL"/>
        </w:rPr>
        <w:t xml:space="preserve">rgan administracji opracowujący projekt </w:t>
      </w:r>
      <w:r w:rsidR="00510E5C" w:rsidRPr="00DF5E10">
        <w:rPr>
          <w:rFonts w:ascii="Arial" w:hAnsi="Arial" w:cs="Arial"/>
          <w:bCs/>
          <w:sz w:val="21"/>
          <w:szCs w:val="21"/>
          <w:lang w:val="pl-PL"/>
        </w:rPr>
        <w:t>dokumentu</w:t>
      </w:r>
      <w:r w:rsidRPr="00DF5E10">
        <w:rPr>
          <w:rFonts w:ascii="Arial" w:hAnsi="Arial" w:cs="Arial"/>
          <w:bCs/>
          <w:sz w:val="21"/>
          <w:szCs w:val="21"/>
          <w:lang w:val="pl-PL"/>
        </w:rPr>
        <w:t xml:space="preserve"> może po uzgodnieniu z właściwymi organami, o których mowa w art. 57 i 58 ww. ustawy, odstąpić od przeprowadzenia strategicznej oceny oddziaływania na środowisko, jeżeli uzna, że realizacja postanowień danego dokumentu nie spowoduje znaczącego oddziaływania na środowisko. </w:t>
      </w:r>
    </w:p>
    <w:p w14:paraId="1E4AD391" w14:textId="79DCF582" w:rsidR="00922D46" w:rsidRPr="00DF5E10" w:rsidRDefault="00922D46" w:rsidP="006769FA">
      <w:pPr>
        <w:spacing w:before="120" w:after="120"/>
        <w:jc w:val="both"/>
        <w:rPr>
          <w:rFonts w:ascii="Arial" w:hAnsi="Arial" w:cs="Arial"/>
          <w:bCs/>
          <w:sz w:val="21"/>
          <w:szCs w:val="21"/>
          <w:lang w:val="pl-PL"/>
        </w:rPr>
      </w:pPr>
      <w:r w:rsidRPr="00DF5E10">
        <w:rPr>
          <w:rFonts w:ascii="Arial" w:hAnsi="Arial" w:cs="Arial"/>
          <w:bCs/>
          <w:sz w:val="21"/>
          <w:szCs w:val="21"/>
          <w:lang w:val="pl-PL"/>
        </w:rPr>
        <w:t>Odstąpienie od przeprowadzenia strategicznej oceny oddziaływania na środowisko może dotyczyć wyłącznie projektów dokumentów stanowiących niewielkie modyfikacje w ustaleniach przyjętych już dokumentów lub projektów dokumentów dotyczących obszarów w granicach jednej gminy.</w:t>
      </w:r>
    </w:p>
    <w:p w14:paraId="0550B2BE" w14:textId="39F76AE1" w:rsidR="00DF5E10" w:rsidRPr="00DF5E10" w:rsidRDefault="00DF5E10" w:rsidP="00DF5E10">
      <w:pPr>
        <w:autoSpaceDE w:val="0"/>
        <w:autoSpaceDN w:val="0"/>
        <w:adjustRightInd w:val="0"/>
        <w:spacing w:before="120" w:after="120"/>
        <w:jc w:val="both"/>
        <w:rPr>
          <w:rFonts w:ascii="Arial" w:eastAsia="TimesNewRomanPSMT" w:hAnsi="Arial" w:cs="Arial"/>
          <w:sz w:val="21"/>
          <w:szCs w:val="21"/>
          <w:lang w:val="pl-PL" w:eastAsia="en-US"/>
        </w:rPr>
      </w:pPr>
      <w:r w:rsidRPr="00DF5E10">
        <w:rPr>
          <w:rFonts w:ascii="Arial" w:hAnsi="Arial" w:cs="Arial"/>
          <w:sz w:val="21"/>
          <w:szCs w:val="21"/>
          <w:lang w:val="pl-PL"/>
        </w:rPr>
        <w:t xml:space="preserve">W piśmie z dnia 22.04.2022 r. (znak: </w:t>
      </w:r>
      <w:r w:rsidRPr="00DF5E10">
        <w:rPr>
          <w:rFonts w:ascii="Arial" w:hAnsi="Arial" w:cs="Arial"/>
          <w:sz w:val="21"/>
          <w:szCs w:val="21"/>
        </w:rPr>
        <w:t>WOO.410.173.2022.AT</w:t>
      </w:r>
      <w:r w:rsidRPr="00DF5E10">
        <w:rPr>
          <w:rFonts w:ascii="Arial" w:hAnsi="Arial" w:cs="Arial"/>
          <w:sz w:val="21"/>
          <w:szCs w:val="21"/>
          <w:lang w:val="pl-PL"/>
        </w:rPr>
        <w:t xml:space="preserve">) Regionalny Dyrektor Ochrony Środowiska w </w:t>
      </w:r>
      <w:r w:rsidRPr="00DF5E10">
        <w:rPr>
          <w:rFonts w:ascii="Arial" w:hAnsi="Arial" w:cs="Arial"/>
          <w:sz w:val="21"/>
          <w:szCs w:val="21"/>
          <w:lang w:val="pl-PL"/>
        </w:rPr>
        <w:t>Bydgoszczy</w:t>
      </w:r>
      <w:r w:rsidRPr="00DF5E10">
        <w:rPr>
          <w:rFonts w:ascii="Arial" w:hAnsi="Arial" w:cs="Arial"/>
          <w:sz w:val="21"/>
          <w:szCs w:val="21"/>
          <w:lang w:val="pl-PL"/>
        </w:rPr>
        <w:t xml:space="preserve"> </w:t>
      </w:r>
      <w:r w:rsidRPr="00DF5E10">
        <w:rPr>
          <w:rFonts w:ascii="Arial" w:hAnsi="Arial" w:cs="Arial"/>
          <w:sz w:val="21"/>
          <w:szCs w:val="21"/>
          <w:lang w:val="pl-PL"/>
        </w:rPr>
        <w:t>uzgodnił odstąpienie od przeprowadzenia strategicznej oceny</w:t>
      </w:r>
      <w:r w:rsidRPr="00DF5E10">
        <w:rPr>
          <w:rFonts w:ascii="Arial" w:hAnsi="Arial" w:cs="Arial"/>
          <w:sz w:val="21"/>
          <w:szCs w:val="21"/>
          <w:lang w:val="pl-PL"/>
        </w:rPr>
        <w:t xml:space="preserve"> oddziaływania na środowisko </w:t>
      </w:r>
      <w:r w:rsidRPr="00DF5E10">
        <w:rPr>
          <w:rFonts w:ascii="Arial" w:eastAsia="TimesNewRomanPSMT" w:hAnsi="Arial" w:cs="Arial"/>
          <w:sz w:val="21"/>
          <w:szCs w:val="21"/>
          <w:lang w:val="pl-PL" w:eastAsia="en-US"/>
        </w:rPr>
        <w:t>dla projektu dokumentu pn.: Strategia Rozwoju Gminy Lipno na lata 2022-2030</w:t>
      </w:r>
      <w:r w:rsidRPr="00DF5E10">
        <w:rPr>
          <w:rFonts w:ascii="Arial" w:hAnsi="Arial" w:cs="Arial"/>
          <w:sz w:val="21"/>
          <w:szCs w:val="21"/>
          <w:lang w:val="pl-PL"/>
        </w:rPr>
        <w:t>.</w:t>
      </w:r>
    </w:p>
    <w:p w14:paraId="77615AF9" w14:textId="63CC14A0" w:rsidR="006E7E54" w:rsidRPr="00DF5E10" w:rsidRDefault="006E7E54" w:rsidP="006769FA">
      <w:pPr>
        <w:autoSpaceDE w:val="0"/>
        <w:autoSpaceDN w:val="0"/>
        <w:adjustRightInd w:val="0"/>
        <w:spacing w:before="120" w:after="120"/>
        <w:jc w:val="both"/>
        <w:rPr>
          <w:rFonts w:ascii="Arial" w:eastAsia="TimesNewRomanPSMT" w:hAnsi="Arial" w:cs="Arial"/>
          <w:sz w:val="21"/>
          <w:szCs w:val="21"/>
          <w:lang w:val="pl-PL" w:eastAsia="en-US"/>
        </w:rPr>
      </w:pPr>
      <w:r w:rsidRPr="00DF5E10">
        <w:rPr>
          <w:rFonts w:ascii="Arial" w:hAnsi="Arial" w:cs="Arial"/>
          <w:sz w:val="21"/>
          <w:szCs w:val="21"/>
          <w:lang w:val="pl-PL"/>
        </w:rPr>
        <w:t xml:space="preserve">W piśmie z dnia </w:t>
      </w:r>
      <w:r w:rsidR="00DF5E10" w:rsidRPr="00DF5E10">
        <w:rPr>
          <w:rFonts w:ascii="Arial" w:hAnsi="Arial" w:cs="Arial"/>
          <w:sz w:val="21"/>
          <w:szCs w:val="21"/>
          <w:lang w:val="pl-PL"/>
        </w:rPr>
        <w:t>25</w:t>
      </w:r>
      <w:r w:rsidR="00641BA3" w:rsidRPr="00DF5E10">
        <w:rPr>
          <w:rFonts w:ascii="Arial" w:hAnsi="Arial" w:cs="Arial"/>
          <w:sz w:val="21"/>
          <w:szCs w:val="21"/>
          <w:lang w:val="pl-PL"/>
        </w:rPr>
        <w:t>.</w:t>
      </w:r>
      <w:r w:rsidR="00DF5E10" w:rsidRPr="00DF5E10">
        <w:rPr>
          <w:rFonts w:ascii="Arial" w:hAnsi="Arial" w:cs="Arial"/>
          <w:sz w:val="21"/>
          <w:szCs w:val="21"/>
          <w:lang w:val="pl-PL"/>
        </w:rPr>
        <w:t>04</w:t>
      </w:r>
      <w:r w:rsidRPr="00DF5E10">
        <w:rPr>
          <w:rFonts w:ascii="Arial" w:hAnsi="Arial" w:cs="Arial"/>
          <w:sz w:val="21"/>
          <w:szCs w:val="21"/>
          <w:lang w:val="pl-PL"/>
        </w:rPr>
        <w:t>.202</w:t>
      </w:r>
      <w:r w:rsidR="00DF5E10" w:rsidRPr="00DF5E10">
        <w:rPr>
          <w:rFonts w:ascii="Arial" w:hAnsi="Arial" w:cs="Arial"/>
          <w:sz w:val="21"/>
          <w:szCs w:val="21"/>
          <w:lang w:val="pl-PL"/>
        </w:rPr>
        <w:t>2</w:t>
      </w:r>
      <w:r w:rsidRPr="00DF5E10">
        <w:rPr>
          <w:rFonts w:ascii="Arial" w:hAnsi="Arial" w:cs="Arial"/>
          <w:sz w:val="21"/>
          <w:szCs w:val="21"/>
          <w:lang w:val="pl-PL"/>
        </w:rPr>
        <w:t xml:space="preserve"> r. (znak: </w:t>
      </w:r>
      <w:r w:rsidR="00DF5E10" w:rsidRPr="00DF5E10">
        <w:rPr>
          <w:rFonts w:ascii="Arial" w:hAnsi="Arial" w:cs="Arial"/>
          <w:sz w:val="21"/>
          <w:szCs w:val="21"/>
        </w:rPr>
        <w:t>NNZ.9022.1.202.2022</w:t>
      </w:r>
      <w:r w:rsidRPr="00DF5E10">
        <w:rPr>
          <w:rFonts w:ascii="Arial" w:hAnsi="Arial" w:cs="Arial"/>
          <w:sz w:val="21"/>
          <w:szCs w:val="21"/>
          <w:lang w:val="pl-PL"/>
        </w:rPr>
        <w:t>) Państwowy Wojewódzki Inspektor Sanitarny</w:t>
      </w:r>
      <w:r w:rsidR="00DF5E10" w:rsidRPr="00DF5E10">
        <w:rPr>
          <w:rFonts w:ascii="Arial" w:hAnsi="Arial" w:cs="Arial"/>
          <w:sz w:val="21"/>
          <w:szCs w:val="21"/>
          <w:lang w:val="pl-PL"/>
        </w:rPr>
        <w:t xml:space="preserve"> w Bydgoszczy</w:t>
      </w:r>
      <w:r w:rsidRPr="00DF5E10">
        <w:rPr>
          <w:rFonts w:ascii="Arial" w:hAnsi="Arial" w:cs="Arial"/>
          <w:sz w:val="21"/>
          <w:szCs w:val="21"/>
          <w:lang w:val="pl-PL"/>
        </w:rPr>
        <w:t xml:space="preserve"> </w:t>
      </w:r>
      <w:r w:rsidR="00DF5E10" w:rsidRPr="00DF5E10">
        <w:rPr>
          <w:rFonts w:ascii="Arial" w:hAnsi="Arial" w:cs="Arial"/>
          <w:sz w:val="21"/>
          <w:szCs w:val="21"/>
          <w:lang w:val="pl-PL"/>
        </w:rPr>
        <w:t>uzg</w:t>
      </w:r>
      <w:r w:rsidR="006769FA" w:rsidRPr="00DF5E10">
        <w:rPr>
          <w:rFonts w:ascii="Arial" w:eastAsia="TimesNewRomanPSMT" w:hAnsi="Arial" w:cs="Arial"/>
          <w:sz w:val="21"/>
          <w:szCs w:val="21"/>
          <w:lang w:val="pl-PL" w:eastAsia="en-US"/>
        </w:rPr>
        <w:t>o</w:t>
      </w:r>
      <w:r w:rsidR="00DF5E10" w:rsidRPr="00DF5E10">
        <w:rPr>
          <w:rFonts w:ascii="Arial" w:eastAsia="TimesNewRomanPSMT" w:hAnsi="Arial" w:cs="Arial"/>
          <w:sz w:val="21"/>
          <w:szCs w:val="21"/>
          <w:lang w:val="pl-PL" w:eastAsia="en-US"/>
        </w:rPr>
        <w:t>dnił możliwość odstąpienia od przeprowadzenia strategicznej oceny oddziaływania na środowisko dla projektu dokumentu pn.: Strategia Rozwoju Gminy Lipno na lata 2022-2030</w:t>
      </w:r>
    </w:p>
    <w:p w14:paraId="1C1020E3" w14:textId="7995C5DD" w:rsidR="00922D46" w:rsidRPr="00DF5E10" w:rsidRDefault="00922D46" w:rsidP="00172ACC">
      <w:pPr>
        <w:pStyle w:val="NormalnyWeb"/>
        <w:spacing w:before="120" w:after="120" w:line="276" w:lineRule="auto"/>
        <w:jc w:val="both"/>
        <w:rPr>
          <w:rFonts w:ascii="Arial" w:hAnsi="Arial" w:cs="Arial"/>
          <w:bCs/>
          <w:sz w:val="21"/>
          <w:szCs w:val="21"/>
        </w:rPr>
      </w:pPr>
      <w:r w:rsidRPr="00DF5E10">
        <w:rPr>
          <w:rFonts w:ascii="Arial" w:hAnsi="Arial" w:cs="Arial"/>
          <w:sz w:val="21"/>
          <w:szCs w:val="21"/>
        </w:rPr>
        <w:t xml:space="preserve">Mając powyższe na uwadze stwierdza </w:t>
      </w:r>
      <w:r w:rsidR="00E25ED8" w:rsidRPr="00DF5E10">
        <w:rPr>
          <w:rFonts w:ascii="Arial" w:hAnsi="Arial" w:cs="Arial"/>
          <w:sz w:val="21"/>
          <w:szCs w:val="21"/>
        </w:rPr>
        <w:t>się odstąpienie od</w:t>
      </w:r>
      <w:r w:rsidRPr="00DF5E10">
        <w:rPr>
          <w:rFonts w:ascii="Arial" w:hAnsi="Arial" w:cs="Arial"/>
          <w:sz w:val="21"/>
          <w:szCs w:val="21"/>
        </w:rPr>
        <w:t xml:space="preserve"> przeprowadzenia strategicznej oceny oddziaływania na środowisko dla </w:t>
      </w:r>
      <w:r w:rsidR="00510E5C" w:rsidRPr="00DF5E10">
        <w:rPr>
          <w:rFonts w:ascii="Arial" w:hAnsi="Arial" w:cs="Arial"/>
          <w:sz w:val="21"/>
          <w:szCs w:val="21"/>
        </w:rPr>
        <w:t xml:space="preserve">projektu </w:t>
      </w:r>
      <w:r w:rsidR="00172ACC" w:rsidRPr="00DF5E10">
        <w:rPr>
          <w:rFonts w:ascii="Arial" w:hAnsi="Arial" w:cs="Arial"/>
          <w:sz w:val="21"/>
          <w:szCs w:val="21"/>
        </w:rPr>
        <w:t xml:space="preserve">„Strategii Rozwoju Gminy </w:t>
      </w:r>
      <w:r w:rsidR="00DF5E10" w:rsidRPr="00DF5E10">
        <w:rPr>
          <w:rFonts w:ascii="Arial" w:hAnsi="Arial" w:cs="Arial"/>
          <w:sz w:val="21"/>
          <w:szCs w:val="21"/>
        </w:rPr>
        <w:t>Lipno</w:t>
      </w:r>
      <w:r w:rsidR="00172ACC" w:rsidRPr="00DF5E10">
        <w:rPr>
          <w:rFonts w:ascii="Arial" w:hAnsi="Arial" w:cs="Arial"/>
          <w:sz w:val="21"/>
          <w:szCs w:val="21"/>
        </w:rPr>
        <w:t xml:space="preserve"> na lata 202</w:t>
      </w:r>
      <w:r w:rsidR="00DF5E10" w:rsidRPr="00DF5E10">
        <w:rPr>
          <w:rFonts w:ascii="Arial" w:hAnsi="Arial" w:cs="Arial"/>
          <w:sz w:val="21"/>
          <w:szCs w:val="21"/>
        </w:rPr>
        <w:t>2</w:t>
      </w:r>
      <w:r w:rsidR="00172ACC" w:rsidRPr="00DF5E10">
        <w:rPr>
          <w:rFonts w:ascii="Arial" w:hAnsi="Arial" w:cs="Arial"/>
          <w:sz w:val="21"/>
          <w:szCs w:val="21"/>
        </w:rPr>
        <w:t>-20</w:t>
      </w:r>
      <w:r w:rsidR="00584CA8" w:rsidRPr="00DF5E10">
        <w:rPr>
          <w:rFonts w:ascii="Arial" w:hAnsi="Arial" w:cs="Arial"/>
          <w:sz w:val="21"/>
          <w:szCs w:val="21"/>
        </w:rPr>
        <w:t>30</w:t>
      </w:r>
      <w:r w:rsidR="00510E5C" w:rsidRPr="00DF5E10">
        <w:rPr>
          <w:rFonts w:ascii="Arial" w:hAnsi="Arial" w:cs="Arial"/>
          <w:sz w:val="21"/>
          <w:szCs w:val="21"/>
        </w:rPr>
        <w:t>”.</w:t>
      </w:r>
    </w:p>
    <w:p w14:paraId="6A2D2536" w14:textId="4F662FE4" w:rsidR="007A5581" w:rsidRPr="0044432A" w:rsidRDefault="007A5581" w:rsidP="00922D46">
      <w:pPr>
        <w:spacing w:before="120" w:after="120" w:line="276" w:lineRule="auto"/>
        <w:jc w:val="both"/>
        <w:rPr>
          <w:rFonts w:ascii="Arial" w:hAnsi="Arial" w:cs="Arial"/>
          <w:sz w:val="21"/>
          <w:szCs w:val="21"/>
          <w:lang w:val="pl-PL"/>
        </w:rPr>
      </w:pPr>
      <w:r w:rsidRPr="0044432A">
        <w:rPr>
          <w:rFonts w:ascii="Arial" w:hAnsi="Arial" w:cs="Arial"/>
          <w:sz w:val="21"/>
          <w:szCs w:val="21"/>
          <w:lang w:val="pl-PL"/>
        </w:rPr>
        <w:t xml:space="preserve">Projekt „Strategii </w:t>
      </w:r>
      <w:r w:rsidR="00172ACC" w:rsidRPr="0044432A">
        <w:rPr>
          <w:rFonts w:ascii="Arial" w:hAnsi="Arial" w:cs="Arial"/>
          <w:sz w:val="21"/>
          <w:szCs w:val="21"/>
          <w:lang w:val="pl-PL"/>
        </w:rPr>
        <w:t xml:space="preserve">Rozwoju Gminy </w:t>
      </w:r>
      <w:r w:rsidR="00DF5E10">
        <w:rPr>
          <w:rFonts w:ascii="Arial" w:hAnsi="Arial" w:cs="Arial"/>
          <w:sz w:val="21"/>
          <w:szCs w:val="21"/>
          <w:lang w:val="pl-PL"/>
        </w:rPr>
        <w:t xml:space="preserve">Lipno </w:t>
      </w:r>
      <w:r w:rsidR="00172ACC" w:rsidRPr="0044432A">
        <w:rPr>
          <w:rFonts w:ascii="Arial" w:hAnsi="Arial" w:cs="Arial"/>
          <w:sz w:val="21"/>
          <w:szCs w:val="21"/>
          <w:lang w:val="pl-PL"/>
        </w:rPr>
        <w:t>na lata 202</w:t>
      </w:r>
      <w:r w:rsidR="00DF5E10">
        <w:rPr>
          <w:rFonts w:ascii="Arial" w:hAnsi="Arial" w:cs="Arial"/>
          <w:sz w:val="21"/>
          <w:szCs w:val="21"/>
          <w:lang w:val="pl-PL"/>
        </w:rPr>
        <w:t>2</w:t>
      </w:r>
      <w:r w:rsidR="00172ACC" w:rsidRPr="0044432A">
        <w:rPr>
          <w:rFonts w:ascii="Arial" w:hAnsi="Arial" w:cs="Arial"/>
          <w:sz w:val="21"/>
          <w:szCs w:val="21"/>
          <w:lang w:val="pl-PL"/>
        </w:rPr>
        <w:t>-20</w:t>
      </w:r>
      <w:r w:rsidR="00584CA8" w:rsidRPr="0044432A">
        <w:rPr>
          <w:rFonts w:ascii="Arial" w:hAnsi="Arial" w:cs="Arial"/>
          <w:sz w:val="21"/>
          <w:szCs w:val="21"/>
          <w:lang w:val="pl-PL"/>
        </w:rPr>
        <w:t>30</w:t>
      </w:r>
      <w:r w:rsidRPr="0044432A">
        <w:rPr>
          <w:rFonts w:ascii="Arial" w:hAnsi="Arial" w:cs="Arial"/>
          <w:sz w:val="21"/>
          <w:szCs w:val="21"/>
          <w:lang w:val="pl-PL"/>
        </w:rPr>
        <w:t>” podlegał również konsult</w:t>
      </w:r>
      <w:r w:rsidR="0006086C" w:rsidRPr="0044432A">
        <w:rPr>
          <w:rFonts w:ascii="Arial" w:hAnsi="Arial" w:cs="Arial"/>
          <w:sz w:val="21"/>
          <w:szCs w:val="21"/>
          <w:lang w:val="pl-PL"/>
        </w:rPr>
        <w:t xml:space="preserve">acjom społecznym z mieszkańcami </w:t>
      </w:r>
      <w:r w:rsidR="00172ACC" w:rsidRPr="0044432A">
        <w:rPr>
          <w:rFonts w:ascii="Arial" w:hAnsi="Arial" w:cs="Arial"/>
          <w:sz w:val="21"/>
          <w:szCs w:val="21"/>
          <w:lang w:val="pl-PL"/>
        </w:rPr>
        <w:t>gminy</w:t>
      </w:r>
      <w:r w:rsidR="0006086C" w:rsidRPr="0044432A">
        <w:rPr>
          <w:rFonts w:ascii="Arial" w:hAnsi="Arial" w:cs="Arial"/>
          <w:sz w:val="21"/>
          <w:szCs w:val="21"/>
          <w:lang w:val="pl-PL"/>
        </w:rPr>
        <w:t xml:space="preserve">, </w:t>
      </w:r>
      <w:r w:rsidR="00172ACC" w:rsidRPr="0044432A">
        <w:rPr>
          <w:rFonts w:ascii="Arial" w:hAnsi="Arial" w:cs="Arial"/>
          <w:sz w:val="21"/>
          <w:szCs w:val="21"/>
          <w:lang w:val="pl-PL"/>
        </w:rPr>
        <w:t>gminami sąsiednimi</w:t>
      </w:r>
      <w:r w:rsidR="0006086C" w:rsidRPr="0044432A">
        <w:rPr>
          <w:rFonts w:ascii="Arial" w:hAnsi="Arial" w:cs="Arial"/>
          <w:sz w:val="21"/>
          <w:szCs w:val="21"/>
          <w:lang w:val="pl-PL"/>
        </w:rPr>
        <w:t xml:space="preserve">, lokalnymi partnerami społecznymi i gospodarczymi oraz Regionalnym Zarządem Gospodarki Wodnej w </w:t>
      </w:r>
      <w:r w:rsidR="00584CA8" w:rsidRPr="0044432A">
        <w:rPr>
          <w:rFonts w:ascii="Arial" w:hAnsi="Arial" w:cs="Arial"/>
          <w:sz w:val="21"/>
          <w:szCs w:val="21"/>
          <w:lang w:val="pl-PL"/>
        </w:rPr>
        <w:t>Warszawie</w:t>
      </w:r>
      <w:r w:rsidR="00DF5E10">
        <w:rPr>
          <w:rFonts w:ascii="Arial" w:hAnsi="Arial" w:cs="Arial"/>
          <w:sz w:val="21"/>
          <w:szCs w:val="21"/>
          <w:lang w:val="pl-PL"/>
        </w:rPr>
        <w:t xml:space="preserve"> i Gdańsku</w:t>
      </w:r>
      <w:r w:rsidR="0006086C" w:rsidRPr="0044432A">
        <w:rPr>
          <w:rFonts w:ascii="Arial" w:hAnsi="Arial" w:cs="Arial"/>
          <w:sz w:val="21"/>
          <w:szCs w:val="21"/>
          <w:lang w:val="pl-PL"/>
        </w:rPr>
        <w:t xml:space="preserve">. Konsultacje trwały od </w:t>
      </w:r>
      <w:r w:rsidR="0044432A" w:rsidRPr="0044432A">
        <w:rPr>
          <w:rFonts w:ascii="Arial" w:hAnsi="Arial" w:cs="Arial"/>
          <w:sz w:val="21"/>
          <w:szCs w:val="21"/>
          <w:lang w:val="pl-PL"/>
        </w:rPr>
        <w:t>0</w:t>
      </w:r>
      <w:r w:rsidR="00DF5E10">
        <w:rPr>
          <w:rFonts w:ascii="Arial" w:hAnsi="Arial" w:cs="Arial"/>
          <w:sz w:val="21"/>
          <w:szCs w:val="21"/>
          <w:lang w:val="pl-PL"/>
        </w:rPr>
        <w:t>8</w:t>
      </w:r>
      <w:r w:rsidR="0006086C" w:rsidRPr="0044432A">
        <w:rPr>
          <w:rFonts w:ascii="Arial" w:hAnsi="Arial" w:cs="Arial"/>
          <w:sz w:val="21"/>
          <w:szCs w:val="21"/>
          <w:lang w:val="pl-PL"/>
        </w:rPr>
        <w:t>.</w:t>
      </w:r>
      <w:r w:rsidR="00DF5E10">
        <w:rPr>
          <w:rFonts w:ascii="Arial" w:hAnsi="Arial" w:cs="Arial"/>
          <w:sz w:val="21"/>
          <w:szCs w:val="21"/>
          <w:lang w:val="pl-PL"/>
        </w:rPr>
        <w:t>04</w:t>
      </w:r>
      <w:r w:rsidR="0006086C" w:rsidRPr="0044432A">
        <w:rPr>
          <w:rFonts w:ascii="Arial" w:hAnsi="Arial" w:cs="Arial"/>
          <w:sz w:val="21"/>
          <w:szCs w:val="21"/>
          <w:lang w:val="pl-PL"/>
        </w:rPr>
        <w:t>.202</w:t>
      </w:r>
      <w:r w:rsidR="00DF5E10">
        <w:rPr>
          <w:rFonts w:ascii="Arial" w:hAnsi="Arial" w:cs="Arial"/>
          <w:sz w:val="21"/>
          <w:szCs w:val="21"/>
          <w:lang w:val="pl-PL"/>
        </w:rPr>
        <w:t>2</w:t>
      </w:r>
      <w:r w:rsidR="0006086C" w:rsidRPr="0044432A">
        <w:rPr>
          <w:rFonts w:ascii="Arial" w:hAnsi="Arial" w:cs="Arial"/>
          <w:sz w:val="21"/>
          <w:szCs w:val="21"/>
          <w:lang w:val="pl-PL"/>
        </w:rPr>
        <w:t xml:space="preserve"> r. do </w:t>
      </w:r>
      <w:r w:rsidR="00DF5E10">
        <w:rPr>
          <w:rFonts w:ascii="Arial" w:hAnsi="Arial" w:cs="Arial"/>
          <w:sz w:val="21"/>
          <w:szCs w:val="21"/>
          <w:lang w:val="pl-PL"/>
        </w:rPr>
        <w:t>12</w:t>
      </w:r>
      <w:r w:rsidR="0006086C" w:rsidRPr="0044432A">
        <w:rPr>
          <w:rFonts w:ascii="Arial" w:hAnsi="Arial" w:cs="Arial"/>
          <w:sz w:val="21"/>
          <w:szCs w:val="21"/>
          <w:lang w:val="pl-PL"/>
        </w:rPr>
        <w:t>.</w:t>
      </w:r>
      <w:r w:rsidR="00DF5E10">
        <w:rPr>
          <w:rFonts w:ascii="Arial" w:hAnsi="Arial" w:cs="Arial"/>
          <w:sz w:val="21"/>
          <w:szCs w:val="21"/>
          <w:lang w:val="pl-PL"/>
        </w:rPr>
        <w:t>05</w:t>
      </w:r>
      <w:r w:rsidR="0006086C" w:rsidRPr="0044432A">
        <w:rPr>
          <w:rFonts w:ascii="Arial" w:hAnsi="Arial" w:cs="Arial"/>
          <w:sz w:val="21"/>
          <w:szCs w:val="21"/>
          <w:lang w:val="pl-PL"/>
        </w:rPr>
        <w:t>.202</w:t>
      </w:r>
      <w:r w:rsidR="00DF5E10">
        <w:rPr>
          <w:rFonts w:ascii="Arial" w:hAnsi="Arial" w:cs="Arial"/>
          <w:sz w:val="21"/>
          <w:szCs w:val="21"/>
          <w:lang w:val="pl-PL"/>
        </w:rPr>
        <w:t>2</w:t>
      </w:r>
      <w:r w:rsidR="0006086C" w:rsidRPr="0044432A">
        <w:rPr>
          <w:rFonts w:ascii="Arial" w:hAnsi="Arial" w:cs="Arial"/>
          <w:sz w:val="21"/>
          <w:szCs w:val="21"/>
          <w:lang w:val="pl-PL"/>
        </w:rPr>
        <w:t xml:space="preserve"> r., a podsumowanie ich przebiegu zostaje udostępnione w</w:t>
      </w:r>
      <w:r w:rsidR="0044432A" w:rsidRPr="0044432A">
        <w:rPr>
          <w:rFonts w:ascii="Arial" w:hAnsi="Arial" w:cs="Arial"/>
          <w:sz w:val="21"/>
          <w:szCs w:val="21"/>
          <w:lang w:val="pl-PL"/>
        </w:rPr>
        <w:t> </w:t>
      </w:r>
      <w:r w:rsidR="0006086C" w:rsidRPr="0044432A">
        <w:rPr>
          <w:rFonts w:ascii="Arial" w:hAnsi="Arial" w:cs="Arial"/>
          <w:sz w:val="21"/>
          <w:szCs w:val="21"/>
          <w:lang w:val="pl-PL"/>
        </w:rPr>
        <w:t xml:space="preserve">Biuletynie Informacji Publicznej Urzędu </w:t>
      </w:r>
      <w:r w:rsidR="000A7419" w:rsidRPr="0044432A">
        <w:rPr>
          <w:rFonts w:ascii="Arial" w:hAnsi="Arial" w:cs="Arial"/>
          <w:sz w:val="21"/>
          <w:szCs w:val="21"/>
          <w:lang w:val="pl-PL"/>
        </w:rPr>
        <w:t xml:space="preserve">Gminy </w:t>
      </w:r>
      <w:r w:rsidR="00DF5E10">
        <w:rPr>
          <w:rFonts w:ascii="Arial" w:hAnsi="Arial" w:cs="Arial"/>
          <w:sz w:val="21"/>
          <w:szCs w:val="21"/>
          <w:lang w:val="pl-PL"/>
        </w:rPr>
        <w:t>Lipno</w:t>
      </w:r>
      <w:r w:rsidR="0044432A" w:rsidRPr="0044432A">
        <w:rPr>
          <w:rFonts w:ascii="Arial" w:hAnsi="Arial" w:cs="Arial"/>
          <w:sz w:val="21"/>
          <w:szCs w:val="21"/>
          <w:lang w:val="pl-PL"/>
        </w:rPr>
        <w:t xml:space="preserve"> </w:t>
      </w:r>
      <w:r w:rsidR="0006086C" w:rsidRPr="0044432A">
        <w:rPr>
          <w:rFonts w:ascii="Arial" w:hAnsi="Arial" w:cs="Arial"/>
          <w:sz w:val="21"/>
          <w:szCs w:val="21"/>
          <w:lang w:val="pl-PL"/>
        </w:rPr>
        <w:t>w</w:t>
      </w:r>
      <w:r w:rsidR="000A7419" w:rsidRPr="0044432A">
        <w:rPr>
          <w:rFonts w:ascii="Arial" w:hAnsi="Arial" w:cs="Arial"/>
          <w:sz w:val="21"/>
          <w:szCs w:val="21"/>
          <w:lang w:val="pl-PL"/>
        </w:rPr>
        <w:t> </w:t>
      </w:r>
      <w:r w:rsidR="0006086C" w:rsidRPr="0044432A">
        <w:rPr>
          <w:rFonts w:ascii="Arial" w:hAnsi="Arial" w:cs="Arial"/>
          <w:sz w:val="21"/>
          <w:szCs w:val="21"/>
          <w:lang w:val="pl-PL"/>
        </w:rPr>
        <w:t>odrębnym sprawozdaniu.</w:t>
      </w:r>
    </w:p>
    <w:p w14:paraId="25FF1403" w14:textId="7D7EC168" w:rsidR="00922D46" w:rsidRPr="006769FA" w:rsidRDefault="00922D46" w:rsidP="00922D46">
      <w:pPr>
        <w:spacing w:before="120" w:after="120" w:line="276" w:lineRule="auto"/>
        <w:jc w:val="both"/>
        <w:rPr>
          <w:rFonts w:ascii="Arial" w:hAnsi="Arial" w:cs="Arial"/>
          <w:sz w:val="21"/>
          <w:szCs w:val="21"/>
          <w:lang w:val="pl-PL"/>
        </w:rPr>
      </w:pPr>
      <w:r w:rsidRPr="0044432A">
        <w:rPr>
          <w:rFonts w:ascii="Arial" w:hAnsi="Arial" w:cs="Arial"/>
          <w:sz w:val="21"/>
          <w:szCs w:val="21"/>
          <w:lang w:val="pl-PL"/>
        </w:rPr>
        <w:t xml:space="preserve">Niniejsze obwieszczenie zostaje podane do publicznej </w:t>
      </w:r>
      <w:r w:rsidR="0006086C" w:rsidRPr="0044432A">
        <w:rPr>
          <w:rFonts w:ascii="Arial" w:hAnsi="Arial" w:cs="Arial"/>
          <w:sz w:val="21"/>
          <w:szCs w:val="21"/>
          <w:lang w:val="pl-PL"/>
        </w:rPr>
        <w:t>wiadomości poprzez ogłoszenie w </w:t>
      </w:r>
      <w:r w:rsidRPr="0044432A">
        <w:rPr>
          <w:rFonts w:ascii="Arial" w:hAnsi="Arial" w:cs="Arial"/>
          <w:sz w:val="21"/>
          <w:szCs w:val="21"/>
          <w:lang w:val="pl-PL"/>
        </w:rPr>
        <w:t xml:space="preserve">Biuletynie Informacji Publicznej Urzędu </w:t>
      </w:r>
      <w:r w:rsidR="000A7419" w:rsidRPr="0044432A">
        <w:rPr>
          <w:rFonts w:ascii="Arial" w:hAnsi="Arial" w:cs="Arial"/>
          <w:sz w:val="21"/>
          <w:szCs w:val="21"/>
          <w:lang w:val="pl-PL"/>
        </w:rPr>
        <w:t xml:space="preserve">Gminy </w:t>
      </w:r>
      <w:r w:rsidR="004164D9">
        <w:rPr>
          <w:rFonts w:ascii="Arial" w:hAnsi="Arial" w:cs="Arial"/>
          <w:sz w:val="21"/>
          <w:szCs w:val="21"/>
          <w:lang w:val="pl-PL"/>
        </w:rPr>
        <w:t>Lipno</w:t>
      </w:r>
      <w:r w:rsidR="000A7419" w:rsidRPr="0044432A">
        <w:rPr>
          <w:rFonts w:ascii="Arial" w:hAnsi="Arial" w:cs="Arial"/>
          <w:sz w:val="21"/>
          <w:szCs w:val="21"/>
          <w:lang w:val="pl-PL"/>
        </w:rPr>
        <w:t xml:space="preserve"> </w:t>
      </w:r>
      <w:r w:rsidR="0006086C" w:rsidRPr="0044432A">
        <w:rPr>
          <w:rFonts w:ascii="Arial" w:hAnsi="Arial" w:cs="Arial"/>
          <w:sz w:val="21"/>
          <w:szCs w:val="21"/>
          <w:lang w:val="pl-PL"/>
        </w:rPr>
        <w:t>oraz na tablicy ogłoszeń w </w:t>
      </w:r>
      <w:r w:rsidRPr="0044432A">
        <w:rPr>
          <w:rFonts w:ascii="Arial" w:hAnsi="Arial" w:cs="Arial"/>
          <w:sz w:val="21"/>
          <w:szCs w:val="21"/>
          <w:lang w:val="pl-PL"/>
        </w:rPr>
        <w:t xml:space="preserve">budynku Urzędu. Uzasadnienie </w:t>
      </w:r>
      <w:r w:rsidR="006E7E54" w:rsidRPr="0044432A">
        <w:rPr>
          <w:rFonts w:ascii="Arial" w:hAnsi="Arial" w:cs="Arial"/>
          <w:sz w:val="21"/>
          <w:szCs w:val="21"/>
          <w:lang w:val="pl-PL"/>
        </w:rPr>
        <w:t>odstąpienia</w:t>
      </w:r>
      <w:r w:rsidR="007A5581" w:rsidRPr="0044432A">
        <w:rPr>
          <w:rFonts w:ascii="Arial" w:hAnsi="Arial" w:cs="Arial"/>
          <w:sz w:val="21"/>
          <w:szCs w:val="21"/>
          <w:lang w:val="pl-PL"/>
        </w:rPr>
        <w:t xml:space="preserve"> od</w:t>
      </w:r>
      <w:r w:rsidRPr="0044432A">
        <w:rPr>
          <w:rFonts w:ascii="Arial" w:hAnsi="Arial" w:cs="Arial"/>
          <w:sz w:val="21"/>
          <w:szCs w:val="21"/>
          <w:lang w:val="pl-PL"/>
        </w:rPr>
        <w:t xml:space="preserve"> przeprowadzenia strategicznej oceny oddziaływania na </w:t>
      </w:r>
      <w:bookmarkStart w:id="0" w:name="_GoBack"/>
      <w:bookmarkEnd w:id="0"/>
      <w:r w:rsidRPr="0044432A">
        <w:rPr>
          <w:rFonts w:ascii="Arial" w:hAnsi="Arial" w:cs="Arial"/>
          <w:sz w:val="21"/>
          <w:szCs w:val="21"/>
          <w:lang w:val="pl-PL"/>
        </w:rPr>
        <w:t xml:space="preserve">środowisko dla </w:t>
      </w:r>
      <w:r w:rsidR="00510E5C" w:rsidRPr="0044432A">
        <w:rPr>
          <w:rFonts w:ascii="Arial" w:hAnsi="Arial" w:cs="Arial"/>
          <w:sz w:val="21"/>
          <w:szCs w:val="21"/>
          <w:lang w:val="pl-PL"/>
        </w:rPr>
        <w:t>projektu „Strategii</w:t>
      </w:r>
      <w:r w:rsidR="007A5581" w:rsidRPr="0044432A">
        <w:rPr>
          <w:rFonts w:ascii="Arial" w:hAnsi="Arial" w:cs="Arial"/>
          <w:sz w:val="21"/>
          <w:szCs w:val="21"/>
          <w:lang w:val="pl-PL"/>
        </w:rPr>
        <w:t xml:space="preserve"> </w:t>
      </w:r>
      <w:r w:rsidR="000A7419" w:rsidRPr="0044432A">
        <w:rPr>
          <w:rFonts w:ascii="Arial" w:hAnsi="Arial" w:cs="Arial"/>
          <w:sz w:val="21"/>
          <w:szCs w:val="21"/>
          <w:lang w:val="pl-PL"/>
        </w:rPr>
        <w:t xml:space="preserve">Rozwoju Gminy </w:t>
      </w:r>
      <w:r w:rsidR="004164D9">
        <w:rPr>
          <w:rFonts w:ascii="Arial" w:hAnsi="Arial" w:cs="Arial"/>
          <w:sz w:val="21"/>
          <w:szCs w:val="21"/>
          <w:lang w:val="pl-PL"/>
        </w:rPr>
        <w:t>Lipno</w:t>
      </w:r>
      <w:r w:rsidR="000A7419" w:rsidRPr="0044432A">
        <w:rPr>
          <w:rFonts w:ascii="Arial" w:hAnsi="Arial" w:cs="Arial"/>
          <w:sz w:val="21"/>
          <w:szCs w:val="21"/>
          <w:lang w:val="pl-PL"/>
        </w:rPr>
        <w:t xml:space="preserve"> na lata 202</w:t>
      </w:r>
      <w:r w:rsidR="004164D9">
        <w:rPr>
          <w:rFonts w:ascii="Arial" w:hAnsi="Arial" w:cs="Arial"/>
          <w:sz w:val="21"/>
          <w:szCs w:val="21"/>
          <w:lang w:val="pl-PL"/>
        </w:rPr>
        <w:t>2</w:t>
      </w:r>
      <w:r w:rsidR="000A7419" w:rsidRPr="0044432A">
        <w:rPr>
          <w:rFonts w:ascii="Arial" w:hAnsi="Arial" w:cs="Arial"/>
          <w:sz w:val="21"/>
          <w:szCs w:val="21"/>
          <w:lang w:val="pl-PL"/>
        </w:rPr>
        <w:t>-20</w:t>
      </w:r>
      <w:r w:rsidR="00584CA8" w:rsidRPr="0044432A">
        <w:rPr>
          <w:rFonts w:ascii="Arial" w:hAnsi="Arial" w:cs="Arial"/>
          <w:sz w:val="21"/>
          <w:szCs w:val="21"/>
          <w:lang w:val="pl-PL"/>
        </w:rPr>
        <w:t>30</w:t>
      </w:r>
      <w:r w:rsidR="00510E5C" w:rsidRPr="0044432A">
        <w:rPr>
          <w:rFonts w:ascii="Arial" w:hAnsi="Arial" w:cs="Arial"/>
          <w:sz w:val="21"/>
          <w:szCs w:val="21"/>
          <w:lang w:val="pl-PL"/>
        </w:rPr>
        <w:t xml:space="preserve">” </w:t>
      </w:r>
      <w:r w:rsidRPr="0044432A">
        <w:rPr>
          <w:rFonts w:ascii="Arial" w:hAnsi="Arial" w:cs="Arial"/>
          <w:sz w:val="21"/>
          <w:szCs w:val="21"/>
          <w:lang w:val="pl-PL"/>
        </w:rPr>
        <w:t>zamieszczono w</w:t>
      </w:r>
      <w:r w:rsidR="0044432A">
        <w:rPr>
          <w:rFonts w:ascii="Arial" w:hAnsi="Arial" w:cs="Arial"/>
          <w:sz w:val="21"/>
          <w:szCs w:val="21"/>
          <w:lang w:val="pl-PL"/>
        </w:rPr>
        <w:t> </w:t>
      </w:r>
      <w:r w:rsidRPr="0044432A">
        <w:rPr>
          <w:rFonts w:ascii="Arial" w:hAnsi="Arial" w:cs="Arial"/>
          <w:sz w:val="21"/>
          <w:szCs w:val="21"/>
          <w:lang w:val="pl-PL"/>
        </w:rPr>
        <w:t>załączniku do niniejszego obwieszczenia.</w:t>
      </w:r>
    </w:p>
    <w:p w14:paraId="45AF8444" w14:textId="7E339DD5" w:rsidR="00922D46" w:rsidRPr="00584CA8" w:rsidRDefault="00922D46" w:rsidP="00922D46">
      <w:pPr>
        <w:spacing w:line="276" w:lineRule="auto"/>
        <w:jc w:val="right"/>
        <w:rPr>
          <w:rFonts w:ascii="Arial" w:hAnsi="Arial" w:cs="Arial"/>
          <w:sz w:val="22"/>
          <w:szCs w:val="22"/>
          <w:lang w:val="pl-PL"/>
        </w:rPr>
      </w:pPr>
      <w:r w:rsidRPr="00584CA8">
        <w:rPr>
          <w:rFonts w:ascii="Arial" w:hAnsi="Arial" w:cs="Arial"/>
          <w:sz w:val="22"/>
          <w:szCs w:val="22"/>
          <w:lang w:val="pl-PL"/>
        </w:rPr>
        <w:br w:type="page"/>
      </w:r>
      <w:r w:rsidRPr="00584CA8">
        <w:rPr>
          <w:rFonts w:ascii="Arial" w:hAnsi="Arial" w:cs="Arial"/>
          <w:sz w:val="22"/>
          <w:szCs w:val="22"/>
          <w:lang w:val="pl-PL"/>
        </w:rPr>
        <w:lastRenderedPageBreak/>
        <w:t>Załącznik do obwieszczenia</w:t>
      </w:r>
      <w:r w:rsidR="006E7E54" w:rsidRPr="00584CA8">
        <w:rPr>
          <w:rFonts w:ascii="Arial" w:hAnsi="Arial" w:cs="Arial"/>
          <w:sz w:val="22"/>
          <w:szCs w:val="22"/>
          <w:lang w:val="pl-PL"/>
        </w:rPr>
        <w:t xml:space="preserve"> nr</w:t>
      </w:r>
      <w:r w:rsidRPr="00584CA8">
        <w:rPr>
          <w:rFonts w:ascii="Arial" w:hAnsi="Arial" w:cs="Arial"/>
          <w:sz w:val="22"/>
          <w:szCs w:val="22"/>
          <w:lang w:val="pl-PL"/>
        </w:rPr>
        <w:t xml:space="preserve"> …z dnia …</w:t>
      </w:r>
    </w:p>
    <w:p w14:paraId="797201FC" w14:textId="77777777" w:rsidR="00922D46" w:rsidRPr="00584CA8" w:rsidRDefault="00922D46" w:rsidP="00922D46">
      <w:pPr>
        <w:spacing w:before="120" w:after="120" w:line="276" w:lineRule="auto"/>
        <w:jc w:val="center"/>
        <w:outlineLvl w:val="0"/>
        <w:rPr>
          <w:rFonts w:ascii="Arial" w:hAnsi="Arial" w:cs="Arial"/>
          <w:b/>
          <w:sz w:val="22"/>
          <w:szCs w:val="22"/>
          <w:lang w:val="pl-PL"/>
        </w:rPr>
      </w:pPr>
      <w:r w:rsidRPr="00584CA8">
        <w:rPr>
          <w:rFonts w:ascii="Arial" w:hAnsi="Arial" w:cs="Arial"/>
          <w:b/>
          <w:sz w:val="22"/>
          <w:szCs w:val="22"/>
          <w:lang w:val="pl-PL"/>
        </w:rPr>
        <w:t>UZASADNIENIE</w:t>
      </w:r>
    </w:p>
    <w:p w14:paraId="0A91445E" w14:textId="7B646E8E" w:rsidR="00E25ED8" w:rsidRPr="00584CA8" w:rsidRDefault="00E25ED8" w:rsidP="00E25ED8">
      <w:pPr>
        <w:pStyle w:val="NormalnyWeb"/>
        <w:spacing w:before="120" w:after="120" w:line="276" w:lineRule="auto"/>
        <w:jc w:val="center"/>
        <w:rPr>
          <w:rStyle w:val="Pogrubienie"/>
          <w:rFonts w:ascii="Arial" w:hAnsi="Arial" w:cs="Arial"/>
          <w:b w:val="0"/>
          <w:sz w:val="22"/>
          <w:szCs w:val="22"/>
        </w:rPr>
      </w:pPr>
      <w:r w:rsidRPr="00584CA8">
        <w:rPr>
          <w:rStyle w:val="Pogrubienie"/>
          <w:rFonts w:ascii="Arial" w:hAnsi="Arial" w:cs="Arial"/>
          <w:sz w:val="22"/>
          <w:szCs w:val="22"/>
        </w:rPr>
        <w:t xml:space="preserve">odstąpienia od przeprowadzenia strategicznej oceny oddziaływania na środowisko dla projektu </w:t>
      </w:r>
      <w:r w:rsidRPr="00584CA8">
        <w:rPr>
          <w:rFonts w:ascii="Arial" w:hAnsi="Arial" w:cs="Arial"/>
          <w:b/>
          <w:sz w:val="22"/>
          <w:szCs w:val="22"/>
        </w:rPr>
        <w:t>„</w:t>
      </w:r>
      <w:r w:rsidR="006E7E54" w:rsidRPr="00584CA8">
        <w:rPr>
          <w:rFonts w:ascii="Arial" w:hAnsi="Arial" w:cs="Arial"/>
          <w:b/>
          <w:sz w:val="22"/>
          <w:szCs w:val="22"/>
        </w:rPr>
        <w:t xml:space="preserve">Strategii </w:t>
      </w:r>
      <w:r w:rsidR="000A7419" w:rsidRPr="00584CA8">
        <w:rPr>
          <w:rFonts w:ascii="Arial" w:hAnsi="Arial" w:cs="Arial"/>
          <w:b/>
          <w:sz w:val="22"/>
          <w:szCs w:val="22"/>
        </w:rPr>
        <w:t xml:space="preserve">Rozwoju Gminy </w:t>
      </w:r>
      <w:r w:rsidR="004164D9">
        <w:rPr>
          <w:rFonts w:ascii="Arial" w:hAnsi="Arial" w:cs="Arial"/>
          <w:b/>
          <w:sz w:val="22"/>
          <w:szCs w:val="22"/>
        </w:rPr>
        <w:t>Lipno</w:t>
      </w:r>
      <w:r w:rsidR="005E067E">
        <w:rPr>
          <w:rFonts w:ascii="Arial" w:hAnsi="Arial" w:cs="Arial"/>
          <w:b/>
          <w:sz w:val="22"/>
          <w:szCs w:val="22"/>
        </w:rPr>
        <w:t xml:space="preserve"> </w:t>
      </w:r>
      <w:r w:rsidR="000A7419" w:rsidRPr="00584CA8">
        <w:rPr>
          <w:rFonts w:ascii="Arial" w:hAnsi="Arial" w:cs="Arial"/>
          <w:b/>
          <w:sz w:val="22"/>
          <w:szCs w:val="22"/>
        </w:rPr>
        <w:t>na lata 202</w:t>
      </w:r>
      <w:r w:rsidR="004164D9">
        <w:rPr>
          <w:rFonts w:ascii="Arial" w:hAnsi="Arial" w:cs="Arial"/>
          <w:b/>
          <w:sz w:val="22"/>
          <w:szCs w:val="22"/>
        </w:rPr>
        <w:t>2</w:t>
      </w:r>
      <w:r w:rsidR="000A7419" w:rsidRPr="00584CA8">
        <w:rPr>
          <w:rFonts w:ascii="Arial" w:hAnsi="Arial" w:cs="Arial"/>
          <w:b/>
          <w:sz w:val="22"/>
          <w:szCs w:val="22"/>
        </w:rPr>
        <w:t>-20</w:t>
      </w:r>
      <w:r w:rsidR="00584CA8">
        <w:rPr>
          <w:rFonts w:ascii="Arial" w:hAnsi="Arial" w:cs="Arial"/>
          <w:b/>
          <w:sz w:val="22"/>
          <w:szCs w:val="22"/>
        </w:rPr>
        <w:t>30</w:t>
      </w:r>
      <w:r w:rsidR="006E7E54" w:rsidRPr="00584CA8">
        <w:rPr>
          <w:rFonts w:ascii="Arial" w:hAnsi="Arial" w:cs="Arial"/>
          <w:b/>
          <w:sz w:val="22"/>
          <w:szCs w:val="22"/>
        </w:rPr>
        <w:t>”</w:t>
      </w:r>
    </w:p>
    <w:p w14:paraId="4A9E0DFB" w14:textId="651BE157" w:rsidR="00922D46" w:rsidRDefault="00922D46" w:rsidP="00922D46">
      <w:pPr>
        <w:spacing w:before="120" w:after="120" w:line="276" w:lineRule="auto"/>
        <w:jc w:val="center"/>
        <w:rPr>
          <w:rFonts w:ascii="Arial" w:hAnsi="Arial" w:cs="Arial"/>
          <w:i/>
          <w:sz w:val="22"/>
          <w:szCs w:val="22"/>
          <w:lang w:val="pl-PL"/>
        </w:rPr>
      </w:pPr>
      <w:r w:rsidRPr="00584CA8">
        <w:rPr>
          <w:rFonts w:ascii="Arial" w:hAnsi="Arial" w:cs="Arial"/>
          <w:i/>
          <w:sz w:val="22"/>
          <w:szCs w:val="22"/>
          <w:lang w:val="pl-PL"/>
        </w:rPr>
        <w:t xml:space="preserve">Sporządzono na podstawie art. 49 </w:t>
      </w:r>
      <w:r w:rsidRPr="00584CA8">
        <w:rPr>
          <w:rFonts w:ascii="Arial" w:hAnsi="Arial" w:cs="Arial"/>
          <w:sz w:val="22"/>
          <w:szCs w:val="22"/>
          <w:lang w:val="pl-PL"/>
        </w:rPr>
        <w:t>ustawy z dnia 3 października 2008 r. o udostępnianiu informacji o środowisku i jego ochronie, udziale społeczeństwa w ochronie środowiska oraz o ocenach oddziaływania na środowisko (Dz.U. 2021 poz. 2</w:t>
      </w:r>
      <w:r w:rsidR="005E067E">
        <w:rPr>
          <w:rFonts w:ascii="Arial" w:hAnsi="Arial" w:cs="Arial"/>
          <w:sz w:val="22"/>
          <w:szCs w:val="22"/>
          <w:lang w:val="pl-PL"/>
        </w:rPr>
        <w:t>3</w:t>
      </w:r>
      <w:r w:rsidRPr="00584CA8">
        <w:rPr>
          <w:rFonts w:ascii="Arial" w:hAnsi="Arial" w:cs="Arial"/>
          <w:sz w:val="22"/>
          <w:szCs w:val="22"/>
          <w:lang w:val="pl-PL"/>
        </w:rPr>
        <w:t>7</w:t>
      </w:r>
      <w:r w:rsidR="005E067E">
        <w:rPr>
          <w:rFonts w:ascii="Arial" w:hAnsi="Arial" w:cs="Arial"/>
          <w:sz w:val="22"/>
          <w:szCs w:val="22"/>
          <w:lang w:val="pl-PL"/>
        </w:rPr>
        <w:t>3</w:t>
      </w:r>
      <w:r w:rsidRPr="00584CA8">
        <w:rPr>
          <w:rFonts w:ascii="Arial" w:hAnsi="Arial" w:cs="Arial"/>
          <w:sz w:val="22"/>
          <w:szCs w:val="22"/>
          <w:lang w:val="pl-PL"/>
        </w:rPr>
        <w:t xml:space="preserve"> ze zm.).</w:t>
      </w:r>
      <w:r w:rsidRPr="00584CA8">
        <w:rPr>
          <w:rFonts w:ascii="Arial" w:hAnsi="Arial" w:cs="Arial"/>
          <w:i/>
          <w:sz w:val="22"/>
          <w:szCs w:val="22"/>
          <w:lang w:val="pl-PL"/>
        </w:rPr>
        <w:t xml:space="preserve"> </w:t>
      </w:r>
    </w:p>
    <w:p w14:paraId="76E0938D" w14:textId="77777777" w:rsidR="004164D9" w:rsidRPr="004164D9" w:rsidRDefault="004164D9" w:rsidP="004164D9">
      <w:pPr>
        <w:numPr>
          <w:ilvl w:val="0"/>
          <w:numId w:val="3"/>
        </w:numPr>
        <w:spacing w:before="120" w:after="120"/>
        <w:ind w:left="357" w:hanging="357"/>
        <w:jc w:val="both"/>
        <w:rPr>
          <w:rFonts w:ascii="Arial" w:hAnsi="Arial" w:cs="Arial"/>
          <w:b/>
          <w:i/>
          <w:sz w:val="20"/>
          <w:lang w:val="pl-PL"/>
        </w:rPr>
      </w:pPr>
      <w:r w:rsidRPr="004164D9">
        <w:rPr>
          <w:rFonts w:ascii="Arial" w:hAnsi="Arial" w:cs="Arial"/>
          <w:b/>
          <w:sz w:val="20"/>
          <w:lang w:val="pl-PL"/>
        </w:rPr>
        <w:t>charakter działań przewidzianych w dokumentach, o których mowa w art. 46 i 47 Ustawy –</w:t>
      </w:r>
      <w:r w:rsidRPr="004164D9">
        <w:rPr>
          <w:rFonts w:ascii="Arial" w:hAnsi="Arial" w:cs="Arial"/>
          <w:b/>
          <w:i/>
          <w:sz w:val="20"/>
          <w:lang w:val="pl-PL"/>
        </w:rPr>
        <w:t xml:space="preserve"> </w:t>
      </w:r>
      <w:r w:rsidRPr="004164D9">
        <w:rPr>
          <w:rFonts w:ascii="Arial" w:hAnsi="Arial" w:cs="Arial"/>
          <w:color w:val="000000"/>
          <w:sz w:val="20"/>
          <w:lang w:val="pl-PL"/>
        </w:rPr>
        <w:t>działania objęte przedmiotowym opracowaniem mają charakter lokalny, gdyż będą realizowane w granicach administracyjnych jednej gminy – gminy Lipno i nie wywierają znaczącego negatywnego wpływu na obszary chronione w tym obszary Natura 2000, co stanowi o możliwości odstąpienia od przeprowadzenia strategicznej oceny oddziaływania na środowisko.</w:t>
      </w:r>
    </w:p>
    <w:p w14:paraId="20897313" w14:textId="77777777" w:rsidR="004164D9" w:rsidRPr="004164D9" w:rsidRDefault="004164D9" w:rsidP="004164D9">
      <w:pPr>
        <w:ind w:left="357"/>
        <w:jc w:val="both"/>
        <w:rPr>
          <w:rFonts w:ascii="Arial" w:hAnsi="Arial" w:cs="Arial"/>
          <w:sz w:val="20"/>
          <w:lang w:val="pl-PL"/>
        </w:rPr>
      </w:pPr>
      <w:r w:rsidRPr="004164D9">
        <w:rPr>
          <w:rFonts w:ascii="Arial" w:hAnsi="Arial" w:cs="Arial"/>
          <w:sz w:val="20"/>
          <w:lang w:val="pl-PL"/>
        </w:rPr>
        <w:t>Strategia Rozwoju Gminy jest planem osiągnięcia długofalowych zamierzeń, implikując przejście ze stanu istniejącego do pożądanego, wyrażonego w wizji rozwoju.</w:t>
      </w:r>
    </w:p>
    <w:p w14:paraId="54105447" w14:textId="77777777" w:rsidR="004164D9" w:rsidRPr="004164D9" w:rsidRDefault="004164D9" w:rsidP="004164D9">
      <w:pPr>
        <w:ind w:left="357"/>
        <w:jc w:val="both"/>
        <w:rPr>
          <w:rFonts w:ascii="Arial" w:hAnsi="Arial" w:cs="Arial"/>
          <w:sz w:val="20"/>
          <w:lang w:val="pl-PL"/>
        </w:rPr>
      </w:pPr>
      <w:r w:rsidRPr="004164D9">
        <w:rPr>
          <w:rFonts w:ascii="Arial" w:hAnsi="Arial" w:cs="Arial"/>
          <w:sz w:val="20"/>
          <w:lang w:val="pl-PL"/>
        </w:rPr>
        <w:t>W Strategii określono następującą wizję rozwoju:</w:t>
      </w:r>
      <w:r w:rsidRPr="004164D9">
        <w:rPr>
          <w:lang w:val="pl-PL"/>
        </w:rPr>
        <w:t xml:space="preserve"> </w:t>
      </w:r>
      <w:r w:rsidRPr="004164D9">
        <w:rPr>
          <w:rFonts w:ascii="Arial" w:hAnsi="Arial" w:cs="Arial"/>
          <w:sz w:val="20"/>
          <w:lang w:val="pl-PL"/>
        </w:rPr>
        <w:t>W roku 2030 Gmina Lipno jest atrakcyjnym miejscem do zamieszkania, posiadającym rozwiniętą infrastrukturę turystyczną i rekreacyjno-wypoczynkową, dbającą o swoje środowisko naturalne, dobrze skomunikowaną i wyposażoną w infrastrukturę techniczną oraz z atrakcyjną przestrzenią dla inwestorów.</w:t>
      </w:r>
    </w:p>
    <w:p w14:paraId="117E005D" w14:textId="77777777" w:rsidR="004164D9" w:rsidRPr="004164D9" w:rsidRDefault="004164D9" w:rsidP="004164D9">
      <w:pPr>
        <w:ind w:left="357"/>
        <w:jc w:val="both"/>
        <w:rPr>
          <w:rFonts w:ascii="Arial" w:hAnsi="Arial" w:cs="Arial"/>
          <w:sz w:val="20"/>
          <w:lang w:val="pl-PL"/>
        </w:rPr>
      </w:pPr>
      <w:r w:rsidRPr="004164D9">
        <w:rPr>
          <w:rFonts w:ascii="Arial" w:hAnsi="Arial" w:cs="Arial"/>
          <w:sz w:val="20"/>
          <w:lang w:val="pl-PL"/>
        </w:rPr>
        <w:t>Misją Gminy jest: Zaspokajanie potrzeb mieszkańców i tworzenie dogodnych warunków dla życia, rozwoju przedsiębiorczości poprzez rozbudowę infrastruktury społecznej i technicznej z uwzględnieniem zasad zrównoważonego rozwoju oraz wykorzystanie istniejących i przyszłych walorów przyrodniczych i komunikacyjnych poprzez kompleksowe działania przestrzenno-infrastrukturalne.</w:t>
      </w:r>
    </w:p>
    <w:p w14:paraId="29E097B9" w14:textId="77777777" w:rsidR="004164D9" w:rsidRPr="004164D9" w:rsidRDefault="004164D9" w:rsidP="004164D9">
      <w:pPr>
        <w:spacing w:line="276" w:lineRule="auto"/>
        <w:ind w:left="357"/>
        <w:jc w:val="both"/>
        <w:rPr>
          <w:rFonts w:ascii="Arial" w:hAnsi="Arial" w:cs="Arial"/>
          <w:sz w:val="20"/>
          <w:lang w:val="pl-PL"/>
        </w:rPr>
      </w:pPr>
      <w:r w:rsidRPr="004164D9">
        <w:rPr>
          <w:rFonts w:ascii="Arial" w:hAnsi="Arial" w:cs="Arial"/>
          <w:sz w:val="20"/>
          <w:lang w:val="pl-PL"/>
        </w:rPr>
        <w:t>W ramach przedmiotowej Strategii określono 3 cele strategiczne</w:t>
      </w:r>
      <w:r w:rsidRPr="004164D9">
        <w:rPr>
          <w:lang w:val="pl-PL"/>
        </w:rPr>
        <w:t xml:space="preserve"> </w:t>
      </w:r>
      <w:r w:rsidRPr="004164D9">
        <w:rPr>
          <w:rFonts w:ascii="Arial" w:hAnsi="Arial" w:cs="Arial"/>
          <w:sz w:val="20"/>
          <w:lang w:val="pl-PL"/>
        </w:rPr>
        <w:t xml:space="preserve">w wymiarze społecznym, gospodarczym i przestrzenny: </w:t>
      </w:r>
    </w:p>
    <w:p w14:paraId="282966EE" w14:textId="77777777" w:rsidR="004164D9" w:rsidRPr="004164D9" w:rsidRDefault="004164D9" w:rsidP="004164D9">
      <w:pPr>
        <w:spacing w:line="276" w:lineRule="auto"/>
        <w:ind w:left="357"/>
        <w:jc w:val="both"/>
        <w:rPr>
          <w:rFonts w:ascii="Arial" w:hAnsi="Arial" w:cs="Arial"/>
          <w:sz w:val="20"/>
          <w:lang w:val="pl-PL"/>
        </w:rPr>
      </w:pPr>
      <w:r w:rsidRPr="004164D9">
        <w:rPr>
          <w:rFonts w:ascii="Arial" w:hAnsi="Arial" w:cs="Arial"/>
          <w:sz w:val="20"/>
          <w:lang w:val="pl-PL"/>
        </w:rPr>
        <w:t>1. Wysoka jakość życia i maksymalne wykorzystanie potencjałów rozwojowych Gminy</w:t>
      </w:r>
    </w:p>
    <w:p w14:paraId="575E8051" w14:textId="77777777" w:rsidR="004164D9" w:rsidRPr="004164D9" w:rsidRDefault="004164D9" w:rsidP="004164D9">
      <w:pPr>
        <w:spacing w:line="276" w:lineRule="auto"/>
        <w:ind w:left="357"/>
        <w:jc w:val="both"/>
        <w:rPr>
          <w:rFonts w:ascii="Arial" w:hAnsi="Arial" w:cs="Arial"/>
          <w:sz w:val="20"/>
          <w:lang w:val="pl-PL"/>
        </w:rPr>
      </w:pPr>
      <w:r w:rsidRPr="004164D9">
        <w:rPr>
          <w:rFonts w:ascii="Arial" w:hAnsi="Arial" w:cs="Arial"/>
          <w:sz w:val="20"/>
          <w:lang w:val="pl-PL"/>
        </w:rPr>
        <w:t>2. Zrównoważony rozwój infrastruktury technicznej i atrakcyjności inwestycyjnej</w:t>
      </w:r>
    </w:p>
    <w:p w14:paraId="5F6D84AE" w14:textId="77777777" w:rsidR="004164D9" w:rsidRPr="004164D9" w:rsidRDefault="004164D9" w:rsidP="004164D9">
      <w:pPr>
        <w:spacing w:line="276" w:lineRule="auto"/>
        <w:ind w:left="357"/>
        <w:jc w:val="both"/>
        <w:rPr>
          <w:rFonts w:ascii="Arial" w:hAnsi="Arial" w:cs="Arial"/>
          <w:sz w:val="20"/>
          <w:lang w:val="pl-PL"/>
        </w:rPr>
      </w:pPr>
      <w:r w:rsidRPr="004164D9">
        <w:rPr>
          <w:rFonts w:ascii="Arial" w:hAnsi="Arial" w:cs="Arial"/>
          <w:sz w:val="20"/>
          <w:lang w:val="pl-PL"/>
        </w:rPr>
        <w:t>3. Poprawa stanu środowiska naturalnego</w:t>
      </w:r>
    </w:p>
    <w:p w14:paraId="0787FE93" w14:textId="77777777" w:rsidR="004164D9" w:rsidRPr="004164D9" w:rsidRDefault="004164D9" w:rsidP="004164D9">
      <w:pPr>
        <w:spacing w:line="276" w:lineRule="auto"/>
        <w:ind w:left="357"/>
        <w:jc w:val="both"/>
        <w:rPr>
          <w:rFonts w:ascii="Arial" w:hAnsi="Arial" w:cs="Arial"/>
          <w:color w:val="000000"/>
          <w:sz w:val="20"/>
          <w:lang w:val="pl-PL"/>
        </w:rPr>
      </w:pPr>
    </w:p>
    <w:p w14:paraId="073E0E72" w14:textId="77777777" w:rsidR="004164D9" w:rsidRPr="004164D9" w:rsidRDefault="004164D9" w:rsidP="004164D9">
      <w:pPr>
        <w:spacing w:line="276" w:lineRule="auto"/>
        <w:ind w:left="357"/>
        <w:jc w:val="both"/>
        <w:rPr>
          <w:rFonts w:ascii="Arial" w:hAnsi="Arial" w:cs="Arial"/>
          <w:sz w:val="20"/>
          <w:lang w:val="pl-PL"/>
        </w:rPr>
      </w:pPr>
      <w:r w:rsidRPr="004164D9">
        <w:rPr>
          <w:rFonts w:ascii="Arial" w:hAnsi="Arial" w:cs="Arial"/>
          <w:color w:val="000000"/>
          <w:sz w:val="20"/>
          <w:lang w:val="pl-PL"/>
        </w:rPr>
        <w:t>Cele strategiczne posiadają charakter ogólny, w związku z tym zostały one doprecyzowane poprzez określenie celów operacyjnych, które wymagały doprecyzowania w postaci określenia możliwych do realizacji działań inwestycyjnych w perspektywie do 2030 r.</w:t>
      </w:r>
    </w:p>
    <w:p w14:paraId="72BCD200" w14:textId="77777777" w:rsidR="004164D9" w:rsidRPr="004164D9" w:rsidRDefault="004164D9" w:rsidP="004164D9">
      <w:pPr>
        <w:numPr>
          <w:ilvl w:val="0"/>
          <w:numId w:val="1"/>
        </w:numPr>
        <w:spacing w:before="120" w:after="120" w:line="276" w:lineRule="auto"/>
        <w:jc w:val="both"/>
        <w:rPr>
          <w:rFonts w:ascii="Arial" w:hAnsi="Arial" w:cs="Arial"/>
          <w:color w:val="000000"/>
          <w:sz w:val="20"/>
          <w:lang w:val="pl-PL"/>
        </w:rPr>
      </w:pPr>
      <w:r w:rsidRPr="004164D9">
        <w:rPr>
          <w:rFonts w:ascii="Arial" w:hAnsi="Arial" w:cs="Arial"/>
          <w:b/>
          <w:color w:val="000000"/>
          <w:sz w:val="20"/>
          <w:lang w:val="pl-PL"/>
        </w:rPr>
        <w:t xml:space="preserve">stopień, w jakim dokument ustala ramy dla późniejszej realizacji przedsięwzięć </w:t>
      </w:r>
      <w:r w:rsidRPr="004164D9">
        <w:rPr>
          <w:rFonts w:ascii="Arial" w:hAnsi="Arial" w:cs="Arial"/>
          <w:b/>
          <w:color w:val="000000"/>
          <w:sz w:val="20"/>
          <w:lang w:val="pl-PL"/>
        </w:rPr>
        <w:br/>
        <w:t xml:space="preserve">w odniesieniu do usytuowania, rodzaju i skali tych przedsięwzięć – </w:t>
      </w:r>
      <w:r w:rsidRPr="004164D9">
        <w:rPr>
          <w:rFonts w:ascii="Arial" w:hAnsi="Arial" w:cs="Arial"/>
          <w:color w:val="000000"/>
          <w:sz w:val="20"/>
          <w:lang w:val="pl-PL"/>
        </w:rPr>
        <w:t>dokument określa następujące działania w ramach 3 głównych celów strategicznych, przy czym część z zadań wynika ze Strategii Rozwoju Województwa Kujawsko-Pomorskiego do 2030 roku – Strategia Przyspieszenia 2030+:</w:t>
      </w:r>
    </w:p>
    <w:p w14:paraId="50D138BE"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Zakup sprzętu dla służb ratowniczych</w:t>
      </w:r>
    </w:p>
    <w:p w14:paraId="057ABCD9"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Organizacja systemu monitoringu wizyjnego</w:t>
      </w:r>
    </w:p>
    <w:p w14:paraId="50AB92EB"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Usuwanie barier architektonicznych – przystosowanie modernizowanych budynków użyteczności publicznej dla osób niepełnosprawnych</w:t>
      </w:r>
    </w:p>
    <w:p w14:paraId="61302327"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Włączanie społeczne – aktywizacja osób starszych</w:t>
      </w:r>
    </w:p>
    <w:p w14:paraId="0EC16A95"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Aktywizacja rodzin z problemami społecznymi i osób zagrożonych wykluczeniem społecznym</w:t>
      </w:r>
    </w:p>
    <w:p w14:paraId="2D22A0AF"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Promocja turystyczna i wspieranie agroturystyki</w:t>
      </w:r>
    </w:p>
    <w:p w14:paraId="247B2926"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Budowa i wyposażenie Gminnego Centrum Kultury</w:t>
      </w:r>
    </w:p>
    <w:p w14:paraId="23E66CE6"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 xml:space="preserve">Budowa obiektów infrastruktury rekreacyjno-wypoczynkowej: plaż i infrastruktury turystyczno-rekreacyjnej przy jeziorach znajdujących się na terenie gminy, krytej pływalni ze strefą rekreacyjnych, punktów HOT Spot na terenie gminy, hali sportowej w Radomicach, skateparku, lodowiska, ścieżek do jazdy na rolkach i biegania, zagospodarowanie ścieżek </w:t>
      </w:r>
      <w:r w:rsidRPr="004164D9">
        <w:rPr>
          <w:rFonts w:ascii="Arial" w:hAnsi="Arial" w:cs="Arial"/>
          <w:color w:val="000000"/>
          <w:sz w:val="20"/>
          <w:lang w:eastAsia="pl-PL"/>
        </w:rPr>
        <w:lastRenderedPageBreak/>
        <w:t>spacerowych w parku w Radomicach i innych parkach na terenie gminy Lipno, utworzenie miejsc piknikowych/ rodzinnych w parkach, przy świetlicach, przy placach zabaw pełniących funkcję miejsc integracji rodzin z dziećmi.</w:t>
      </w:r>
    </w:p>
    <w:p w14:paraId="59EC8214"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Stworzenie klubów młodzieżowych i kółek zainteresowań</w:t>
      </w:r>
    </w:p>
    <w:p w14:paraId="614720E4"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Budowa DK10 w standardzie drogi ekspresowej na terenie gminy</w:t>
      </w:r>
      <w:r w:rsidRPr="004164D9">
        <w:rPr>
          <w:rStyle w:val="Odwoanieprzypisudolnego"/>
          <w:rFonts w:ascii="Arial" w:hAnsi="Arial" w:cs="Arial"/>
          <w:color w:val="000000"/>
          <w:sz w:val="20"/>
          <w:lang w:eastAsia="pl-PL"/>
        </w:rPr>
        <w:footnoteReference w:id="1"/>
      </w:r>
    </w:p>
    <w:p w14:paraId="00C5ACB0"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Budowa obwodnicy Lipna w ciągu DK10, DK67, DW557, DW558 i DW 559</w:t>
      </w:r>
      <w:r w:rsidRPr="004164D9">
        <w:rPr>
          <w:rStyle w:val="Odwoanieprzypisudolnego"/>
          <w:rFonts w:ascii="Arial" w:hAnsi="Arial" w:cs="Arial"/>
          <w:color w:val="000000"/>
          <w:sz w:val="20"/>
          <w:lang w:eastAsia="pl-PL"/>
        </w:rPr>
        <w:footnoteReference w:id="2"/>
      </w:r>
    </w:p>
    <w:p w14:paraId="3A7E97F5"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Modernizacja linii kolejowej nr 27 wraz z elektryfikacją na odcinku Toruń Wschodni – Sierpc wraz z infrastrukturą przystankową</w:t>
      </w:r>
      <w:r w:rsidRPr="004164D9">
        <w:rPr>
          <w:rStyle w:val="Odwoanieprzypisudolnego"/>
          <w:rFonts w:ascii="Arial" w:hAnsi="Arial" w:cs="Arial"/>
          <w:color w:val="000000"/>
          <w:sz w:val="20"/>
          <w:lang w:eastAsia="pl-PL"/>
        </w:rPr>
        <w:footnoteReference w:id="3"/>
      </w:r>
    </w:p>
    <w:p w14:paraId="25985871"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Modernizacja gruntowych dróg gminnych</w:t>
      </w:r>
    </w:p>
    <w:p w14:paraId="60859C19"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Wykonanie drogi asfaltowej Jankowo – Maliszewo</w:t>
      </w:r>
    </w:p>
    <w:p w14:paraId="00C25C01"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Etapowa i systematyczna budowa nowych chodników i ścieżek rowerowych</w:t>
      </w:r>
    </w:p>
    <w:p w14:paraId="3B503B93"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Rozbudowa oświetlenia ulicznego i drogowego</w:t>
      </w:r>
    </w:p>
    <w:p w14:paraId="100A4C80"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Rozbudowa sieci kanalizacyjnej na terenie gminy</w:t>
      </w:r>
    </w:p>
    <w:p w14:paraId="76257E1F"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Rozbudowa i modernizacja oczyszczalni ścieków w m. Łochocin</w:t>
      </w:r>
    </w:p>
    <w:p w14:paraId="1764713C"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Uruchomienie programu dotacji wspierających budowę przydomowych oczyszczalni.</w:t>
      </w:r>
    </w:p>
    <w:p w14:paraId="0358DBF3"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Modernizacja sieci wodociągowej na terenie gminy Lipno</w:t>
      </w:r>
    </w:p>
    <w:p w14:paraId="02FAA1E4"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Budowa, rozbudowa i modernizacja stacji uzdatniania wody</w:t>
      </w:r>
    </w:p>
    <w:p w14:paraId="64216C89"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Budowa sieci światłowodowej na terenie gminy</w:t>
      </w:r>
    </w:p>
    <w:p w14:paraId="714DB343"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Promocja terenów inwestycyjnych</w:t>
      </w:r>
    </w:p>
    <w:p w14:paraId="4CE30CF9"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Kompleksowa modernizacja energetyczna budynków publicznych</w:t>
      </w:r>
    </w:p>
    <w:p w14:paraId="3D757B35"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Kompleksowa modernizacja energetyczna wielorodzinnych budynków mieszkalnych</w:t>
      </w:r>
    </w:p>
    <w:p w14:paraId="5F04766B"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Wymiana źródeł ciepła w budynkach wielorodzinnych</w:t>
      </w:r>
    </w:p>
    <w:p w14:paraId="493FE2BA"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Efektywnie energetycznie oświetlenie uliczne</w:t>
      </w:r>
    </w:p>
    <w:p w14:paraId="32E9DD14"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Wymiana energochłonnego oświetlenia w obiektach publicznych</w:t>
      </w:r>
    </w:p>
    <w:p w14:paraId="50D30422"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Dofinansowanie na zakup samochodu elektrycznego dla mieszkańców gminy</w:t>
      </w:r>
    </w:p>
    <w:p w14:paraId="4A526B36"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Przebudowa kotłowni w Z.S. w Karnkowie</w:t>
      </w:r>
    </w:p>
    <w:p w14:paraId="56E7CECF"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Uruchomienie programu dotacyjnego wspierającego mieszkańców w zakresie budowy małych instalacji OZE w tym mikroinstalacji elektrycznych i/lub cieplnych</w:t>
      </w:r>
    </w:p>
    <w:p w14:paraId="15F5AD06"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Propagowanie i wdrażanie źródeł energii u osób fizycznych, a także w jednostkach publicznych</w:t>
      </w:r>
    </w:p>
    <w:p w14:paraId="0CFB8025"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Montaż paneli fotowoltaicznych przy budynkach szkolnych i użyteczności publicznej na terenie gminy Lipno</w:t>
      </w:r>
    </w:p>
    <w:p w14:paraId="276FD16D"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Inwestycje w zakresie zadrzewień przydrożnych</w:t>
      </w:r>
    </w:p>
    <w:p w14:paraId="07C20F1A"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Wprowadzenie na terenie gm. Lipno systemów małej retencji</w:t>
      </w:r>
    </w:p>
    <w:p w14:paraId="3ACA1D61"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Prowadzenie edukacji ekologicznej i działań z zakresu pogłębiania świadomości ekologicznej mieszkańców o zasobach przyrodniczych</w:t>
      </w:r>
    </w:p>
    <w:p w14:paraId="76D5F045"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Utworzenie ośrodka edukacji ekologicznej</w:t>
      </w:r>
    </w:p>
    <w:p w14:paraId="086F85B3"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Rozwój wsi – szkolenia i doradztwo dla rolników jak pozyskać fundusze unijne</w:t>
      </w:r>
    </w:p>
    <w:p w14:paraId="3968D69B"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Rozwój wsi – tworzenie warunków sprzyjających powstawaniu gospodarstw ekologicznych</w:t>
      </w:r>
    </w:p>
    <w:p w14:paraId="05FDC317"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Wprowadzenie systemu zbiórki odpadów rolniczych</w:t>
      </w:r>
    </w:p>
    <w:p w14:paraId="73320778" w14:textId="77777777" w:rsidR="004164D9" w:rsidRPr="004164D9" w:rsidRDefault="004164D9" w:rsidP="004164D9">
      <w:pPr>
        <w:pStyle w:val="Akapitzlist"/>
        <w:numPr>
          <w:ilvl w:val="0"/>
          <w:numId w:val="8"/>
        </w:numPr>
        <w:spacing w:line="276" w:lineRule="auto"/>
        <w:ind w:left="993" w:right="0"/>
        <w:rPr>
          <w:rFonts w:ascii="Arial" w:hAnsi="Arial" w:cs="Arial"/>
          <w:color w:val="000000"/>
          <w:sz w:val="20"/>
          <w:lang w:eastAsia="pl-PL"/>
        </w:rPr>
      </w:pPr>
      <w:r w:rsidRPr="004164D9">
        <w:rPr>
          <w:rFonts w:ascii="Arial" w:hAnsi="Arial" w:cs="Arial"/>
          <w:color w:val="000000"/>
          <w:sz w:val="20"/>
          <w:lang w:eastAsia="pl-PL"/>
        </w:rPr>
        <w:t>Utylizacja eternitu na terenie gminy.</w:t>
      </w:r>
    </w:p>
    <w:p w14:paraId="615576AF" w14:textId="77777777" w:rsidR="004164D9" w:rsidRPr="004164D9" w:rsidRDefault="004164D9" w:rsidP="004164D9">
      <w:pPr>
        <w:spacing w:line="276" w:lineRule="auto"/>
        <w:jc w:val="both"/>
        <w:rPr>
          <w:rFonts w:ascii="Arial" w:hAnsi="Arial" w:cs="Arial"/>
          <w:color w:val="000000"/>
          <w:sz w:val="20"/>
          <w:lang w:val="pl-PL"/>
        </w:rPr>
      </w:pPr>
      <w:r w:rsidRPr="004164D9">
        <w:rPr>
          <w:rFonts w:ascii="Arial" w:hAnsi="Arial" w:cs="Arial"/>
          <w:color w:val="000000"/>
          <w:sz w:val="20"/>
          <w:lang w:val="pl-PL"/>
        </w:rPr>
        <w:t xml:space="preserve">Oznaczone przypisem dolnym inwestycje zostały uwzględnione w projekcie Strategii Rozwoju Gminy Lipno jako projekty kluczowe dla Województwa Kujawsko-Pomorskiego, które wynikają bezpośrednio ze Strategii Rozwoju Województwa Kujawsko-Pomorskiego do 2030 roku – Strategia Przyspieszenia 2030+. Ich uwzględnienie w Strategii Rozwoju Gminy wynika z Wytycznych dotyczących zachowania spójności projektów strategii rozwoju gmin oraz strategii rozwoju ponadlokalnego sporządzanych na </w:t>
      </w:r>
      <w:r w:rsidRPr="004164D9">
        <w:rPr>
          <w:rFonts w:ascii="Arial" w:hAnsi="Arial" w:cs="Arial"/>
          <w:color w:val="000000"/>
          <w:sz w:val="20"/>
          <w:lang w:val="pl-PL"/>
        </w:rPr>
        <w:lastRenderedPageBreak/>
        <w:t>terenie województwa kujawsko-pomorskiego z ustaleniami Strategii Przyspieszenia 2030+ (na potrzeby wydania przez Zarząd Województwa Kujawsko-Pomorskiego opinii dotyczącej sposobu uwzględnienia ustaleń i rekomendacji w zakresie kształtowania i prowadzenia polityki przestrzennej w województwie kujawsko-pomorskim określonych w „Strategii rozwoju województwa kujawsko-pomorskiego do 2030 roku – Strategia Przyspieszenia 2030+” – w kontekście wymogu określonego w art. 10f. ust. 2 ustawy z dnia 8 marca 1990 r. o samorządzie gminnym).</w:t>
      </w:r>
    </w:p>
    <w:p w14:paraId="26B70D97" w14:textId="77777777" w:rsidR="004164D9" w:rsidRPr="004164D9" w:rsidRDefault="004164D9" w:rsidP="004164D9">
      <w:pPr>
        <w:jc w:val="both"/>
        <w:rPr>
          <w:rFonts w:ascii="Arial" w:hAnsi="Arial" w:cs="Arial"/>
          <w:color w:val="000000"/>
          <w:sz w:val="20"/>
          <w:lang w:val="pl-PL"/>
        </w:rPr>
      </w:pPr>
      <w:r w:rsidRPr="004164D9">
        <w:rPr>
          <w:rFonts w:ascii="Arial" w:hAnsi="Arial" w:cs="Arial"/>
          <w:color w:val="000000"/>
          <w:sz w:val="20"/>
          <w:lang w:val="pl-PL"/>
        </w:rPr>
        <w:t>Działania gminne określone w Strategii będą realizowane wyłącznie na terenie obszaru położonego w granicach jednej gminy, tj. w granicach Gminy Lipno. Nie jest możliwe określenie, czy działania ze względu na zakres prac będą zaliczać się do przedsięwzięć mogących znacząco oddziaływać na środowisko, zgodnie z</w:t>
      </w:r>
      <w:r w:rsidRPr="004164D9">
        <w:rPr>
          <w:rFonts w:ascii="Arial" w:hAnsi="Arial"/>
          <w:sz w:val="20"/>
          <w:lang w:val="pl-PL"/>
        </w:rPr>
        <w:t xml:space="preserve"> rozporządzeniem Rady Ministrów z dnia 10 września 2019 r. w sprawie przedsięwzięć mogących znacząco oddziaływać na środowisko (Dz.U. 2019 poz. 1839). </w:t>
      </w:r>
      <w:r w:rsidRPr="004164D9">
        <w:rPr>
          <w:rFonts w:ascii="Arial" w:hAnsi="Arial" w:cs="Arial"/>
          <w:color w:val="000000"/>
          <w:sz w:val="20"/>
          <w:lang w:val="pl-PL"/>
        </w:rPr>
        <w:t>Skonkretyzowanie inwestycji strategicznych będzie następować stosowanie do etapu ich realizacji w ciągu całego okresu wdrażania Strategii Rozwoju. Zaplanowane działania mają na celu ożywienie społeczno-gospodarcze i ich realizacja nie spowoduje negatywnego wpływu na komponenty środowiska.</w:t>
      </w:r>
      <w:r w:rsidRPr="004164D9">
        <w:rPr>
          <w:lang w:val="pl-PL"/>
        </w:rPr>
        <w:t xml:space="preserve"> </w:t>
      </w:r>
      <w:r w:rsidRPr="004164D9">
        <w:rPr>
          <w:rFonts w:ascii="Arial" w:hAnsi="Arial" w:cs="Arial"/>
          <w:color w:val="000000"/>
          <w:sz w:val="20"/>
          <w:lang w:val="pl-PL"/>
        </w:rPr>
        <w:t xml:space="preserve">Zadania będą realizowane z najwyższą ostrożnością i poszanowaniem środowiska naturalnego, z uwzględnieniem właściwych przepisów prawnych, konsultacji, opinii i analiz wpływu lokalizacji oraz wpływu funkcjonowania inwestycji na zdrowie i życie ludzi oraz środowisko naturalne. </w:t>
      </w:r>
      <w:r w:rsidRPr="004164D9">
        <w:rPr>
          <w:rFonts w:ascii="Arial" w:hAnsi="Arial" w:cs="Arial"/>
          <w:sz w:val="20"/>
          <w:lang w:val="pl-PL"/>
        </w:rPr>
        <w:t>Wszelkie prace budowlano-remontowe nie mogą oddziaływać negatywnie na środowisko, w tym obszary chronione bez przeprowadzenia uprzednich postępowań i uzyskania odpowiedniej zgody na takie przedsięwzięcia. Z analizy działań wynika, iż nie będą one powodować negatywnego oddziaływana na środowisko, w tym na obszary chronione, będą realizowane na obszarze jednej gminy.</w:t>
      </w:r>
    </w:p>
    <w:p w14:paraId="5791108D" w14:textId="77777777" w:rsidR="004164D9" w:rsidRPr="004164D9" w:rsidRDefault="004164D9" w:rsidP="004164D9">
      <w:pPr>
        <w:numPr>
          <w:ilvl w:val="0"/>
          <w:numId w:val="1"/>
        </w:numPr>
        <w:spacing w:before="120" w:after="120" w:line="276" w:lineRule="auto"/>
        <w:jc w:val="both"/>
        <w:rPr>
          <w:rFonts w:ascii="Arial" w:hAnsi="Arial" w:cs="Arial"/>
          <w:b/>
          <w:color w:val="000000"/>
          <w:sz w:val="20"/>
          <w:lang w:val="pl-PL"/>
        </w:rPr>
      </w:pPr>
      <w:r w:rsidRPr="004164D9">
        <w:rPr>
          <w:rFonts w:ascii="Arial" w:hAnsi="Arial" w:cs="Arial"/>
          <w:b/>
          <w:color w:val="000000"/>
          <w:sz w:val="20"/>
          <w:lang w:val="pl-PL"/>
        </w:rPr>
        <w:t xml:space="preserve">powiązania z działaniami przewidzianymi w innych dokumentach – </w:t>
      </w:r>
      <w:r w:rsidRPr="004164D9">
        <w:rPr>
          <w:rFonts w:ascii="Arial" w:hAnsi="Arial" w:cs="Arial"/>
          <w:sz w:val="20"/>
          <w:lang w:val="pl-PL"/>
        </w:rPr>
        <w:t>cele przyjęte (a tym samym zaplanowane do realizacji działania) w Strategii Rozwoju określono, biorąc pod uwagę założenia obowiązujących dokumentów strategicznych wyższego rzędu, tj.:</w:t>
      </w:r>
    </w:p>
    <w:p w14:paraId="7334E1FD" w14:textId="77777777" w:rsidR="004164D9" w:rsidRPr="004164D9" w:rsidRDefault="004164D9" w:rsidP="004164D9">
      <w:pPr>
        <w:numPr>
          <w:ilvl w:val="0"/>
          <w:numId w:val="2"/>
        </w:numPr>
        <w:spacing w:line="276" w:lineRule="auto"/>
        <w:jc w:val="both"/>
        <w:rPr>
          <w:rFonts w:ascii="Arial" w:hAnsi="Arial" w:cs="Arial"/>
          <w:sz w:val="20"/>
          <w:lang w:val="pl-PL"/>
        </w:rPr>
      </w:pPr>
      <w:r w:rsidRPr="004164D9">
        <w:rPr>
          <w:rFonts w:ascii="Arial" w:hAnsi="Arial" w:cs="Arial"/>
          <w:sz w:val="20"/>
          <w:lang w:val="pl-PL"/>
        </w:rPr>
        <w:t>Strategii na rzecz Odpowiedzialnego Rozwoju do roku 2020 (z perspektywą do 2030 r.),</w:t>
      </w:r>
    </w:p>
    <w:p w14:paraId="4ECE8EE9" w14:textId="77777777" w:rsidR="004164D9" w:rsidRPr="004164D9" w:rsidRDefault="004164D9" w:rsidP="004164D9">
      <w:pPr>
        <w:numPr>
          <w:ilvl w:val="0"/>
          <w:numId w:val="2"/>
        </w:numPr>
        <w:spacing w:line="276" w:lineRule="auto"/>
        <w:jc w:val="both"/>
        <w:rPr>
          <w:rFonts w:ascii="Arial" w:hAnsi="Arial" w:cs="Arial"/>
          <w:sz w:val="20"/>
          <w:lang w:val="pl-PL"/>
        </w:rPr>
      </w:pPr>
      <w:r w:rsidRPr="004164D9">
        <w:rPr>
          <w:rFonts w:ascii="Arial" w:hAnsi="Arial" w:cs="Arial"/>
          <w:sz w:val="20"/>
          <w:lang w:val="pl-PL"/>
        </w:rPr>
        <w:t>Krajowej Strategii Rozwoju Regionalnego 2030;</w:t>
      </w:r>
    </w:p>
    <w:p w14:paraId="654D5EFA" w14:textId="77777777" w:rsidR="004164D9" w:rsidRPr="004164D9" w:rsidRDefault="004164D9" w:rsidP="004164D9">
      <w:pPr>
        <w:numPr>
          <w:ilvl w:val="0"/>
          <w:numId w:val="2"/>
        </w:numPr>
        <w:spacing w:line="276" w:lineRule="auto"/>
        <w:jc w:val="both"/>
        <w:rPr>
          <w:rFonts w:ascii="Arial" w:hAnsi="Arial" w:cs="Arial"/>
          <w:sz w:val="20"/>
          <w:lang w:val="pl-PL"/>
        </w:rPr>
      </w:pPr>
      <w:r w:rsidRPr="004164D9">
        <w:rPr>
          <w:rFonts w:ascii="Arial" w:hAnsi="Arial" w:cs="Arial"/>
          <w:sz w:val="20"/>
          <w:lang w:val="pl-PL"/>
        </w:rPr>
        <w:t>Strategii Zrównoważonego Rozwoju Transportu do 2030 r.;</w:t>
      </w:r>
    </w:p>
    <w:p w14:paraId="644190F5" w14:textId="77777777" w:rsidR="004164D9" w:rsidRPr="004164D9" w:rsidRDefault="004164D9" w:rsidP="004164D9">
      <w:pPr>
        <w:numPr>
          <w:ilvl w:val="0"/>
          <w:numId w:val="2"/>
        </w:numPr>
        <w:spacing w:line="276" w:lineRule="auto"/>
        <w:jc w:val="both"/>
        <w:rPr>
          <w:rFonts w:ascii="Arial" w:hAnsi="Arial" w:cs="Arial"/>
          <w:sz w:val="20"/>
          <w:lang w:val="pl-PL"/>
        </w:rPr>
      </w:pPr>
      <w:r w:rsidRPr="004164D9">
        <w:rPr>
          <w:rFonts w:ascii="Arial" w:hAnsi="Arial" w:cs="Arial"/>
          <w:sz w:val="20"/>
          <w:lang w:val="pl-PL"/>
        </w:rPr>
        <w:t>Strategii rozwoju województwa kujawsko-pomorskiego do 2030 roku – Strategia Przyspieszenia 2030+.</w:t>
      </w:r>
    </w:p>
    <w:p w14:paraId="4262F5AC" w14:textId="77777777" w:rsidR="004164D9" w:rsidRPr="004164D9" w:rsidRDefault="004164D9" w:rsidP="004164D9">
      <w:pPr>
        <w:numPr>
          <w:ilvl w:val="0"/>
          <w:numId w:val="1"/>
        </w:numPr>
        <w:spacing w:before="120" w:after="120" w:line="276" w:lineRule="auto"/>
        <w:jc w:val="both"/>
        <w:rPr>
          <w:rFonts w:ascii="Arial" w:hAnsi="Arial" w:cs="Arial"/>
          <w:color w:val="000000"/>
          <w:sz w:val="20"/>
          <w:lang w:val="pl-PL"/>
        </w:rPr>
      </w:pPr>
      <w:r w:rsidRPr="004164D9">
        <w:rPr>
          <w:rFonts w:ascii="Arial" w:hAnsi="Arial" w:cs="Arial"/>
          <w:b/>
          <w:color w:val="000000"/>
          <w:sz w:val="20"/>
          <w:lang w:val="pl-PL"/>
        </w:rPr>
        <w:t xml:space="preserve">przydatność w uwzględnieniu aspektów środowiskowych, w szczególności w celu wspierania zrównoważonego rozwoju oraz we wdrażaniu prawa wspólnotowego </w:t>
      </w:r>
      <w:r w:rsidRPr="004164D9">
        <w:rPr>
          <w:rFonts w:ascii="Arial" w:hAnsi="Arial" w:cs="Arial"/>
          <w:b/>
          <w:color w:val="000000"/>
          <w:sz w:val="20"/>
          <w:lang w:val="pl-PL"/>
        </w:rPr>
        <w:br/>
        <w:t xml:space="preserve">w dziedzinie ochrony środowiska – </w:t>
      </w:r>
      <w:r w:rsidRPr="004164D9">
        <w:rPr>
          <w:rFonts w:ascii="Arial" w:hAnsi="Arial" w:cs="Arial"/>
          <w:color w:val="000000"/>
          <w:sz w:val="20"/>
          <w:lang w:val="pl-PL"/>
        </w:rPr>
        <w:t xml:space="preserve">misją Gminy jest </w:t>
      </w:r>
      <w:r w:rsidRPr="004164D9">
        <w:rPr>
          <w:rFonts w:ascii="Arial" w:hAnsi="Arial" w:cs="Arial"/>
          <w:sz w:val="20"/>
          <w:lang w:val="pl-PL"/>
        </w:rPr>
        <w:t>zaspokajanie potrzeb mieszkańców i tworzenie dogodnych warunków dla życia, rozwoju przedsiębiorczości poprzez rozbudowę infrastruktury społecznej i technicznej z uwzględnieniem zasad zrównoważonego rozwoju oraz wykorzystanie istniejących i przyszłych walorów przyrodniczych i komunikacyjnych poprzez kompleksowe działania przestrzenno-infrastrukturalne</w:t>
      </w:r>
      <w:r w:rsidRPr="004164D9">
        <w:rPr>
          <w:rFonts w:ascii="Arial" w:hAnsi="Arial" w:cs="Arial"/>
          <w:color w:val="000000"/>
          <w:sz w:val="20"/>
          <w:lang w:val="pl-PL"/>
        </w:rPr>
        <w:t xml:space="preserve">. Realizacja działań strategicznych będzie uwzględniać zasady zrównoważonego rozwoju, który 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zarówno współczesnego, jak i przyszłych pokoleń. Przedmiotowy dokument wskazuje cele i kierunki działań w sferze społeczno-gospodarczej, technicznej oraz przestrzenno-funkcjonalnej. Wskazane działania ściśle korelują z założeniami zrównoważonego rozwoju w aspekcie ochrony środowiska oraz wypełniają zobowiązania w stosunku do regulacji prawnych Unii Europejskiej. </w:t>
      </w:r>
    </w:p>
    <w:p w14:paraId="6977AC30" w14:textId="77777777" w:rsidR="004164D9" w:rsidRPr="004164D9" w:rsidRDefault="004164D9" w:rsidP="004164D9">
      <w:pPr>
        <w:numPr>
          <w:ilvl w:val="0"/>
          <w:numId w:val="1"/>
        </w:numPr>
        <w:spacing w:before="120" w:after="120" w:line="264" w:lineRule="atLeast"/>
        <w:ind w:right="-6"/>
        <w:jc w:val="both"/>
        <w:rPr>
          <w:rFonts w:ascii="Arial" w:hAnsi="Arial" w:cs="Arial"/>
          <w:color w:val="000000"/>
          <w:sz w:val="20"/>
          <w:lang w:val="pl-PL"/>
        </w:rPr>
      </w:pPr>
      <w:r w:rsidRPr="004164D9">
        <w:rPr>
          <w:rFonts w:ascii="Arial" w:hAnsi="Arial" w:cs="Arial"/>
          <w:b/>
          <w:color w:val="000000"/>
          <w:sz w:val="20"/>
          <w:lang w:val="pl-PL"/>
        </w:rPr>
        <w:t xml:space="preserve">powiązania z problemami dotyczącymi ochrony środowiska – </w:t>
      </w:r>
      <w:r w:rsidRPr="004164D9">
        <w:rPr>
          <w:rFonts w:ascii="Arial" w:hAnsi="Arial" w:cs="Arial"/>
          <w:color w:val="000000"/>
          <w:sz w:val="20"/>
          <w:lang w:val="pl-PL"/>
        </w:rPr>
        <w:t>w</w:t>
      </w:r>
      <w:r w:rsidRPr="004164D9">
        <w:rPr>
          <w:lang w:val="pl-PL"/>
        </w:rPr>
        <w:t xml:space="preserve"> </w:t>
      </w:r>
      <w:r w:rsidRPr="004164D9">
        <w:rPr>
          <w:rFonts w:ascii="Arial" w:hAnsi="Arial" w:cs="Arial"/>
          <w:color w:val="000000"/>
          <w:sz w:val="20"/>
          <w:lang w:val="pl-PL"/>
        </w:rPr>
        <w:t xml:space="preserve">Strategii Rozwoju przewidziano cel strategiczny, który jest ściśle powiązany z problemami dotyczącymi ochrony środowiska. Jest to cel 3: </w:t>
      </w:r>
      <w:r w:rsidRPr="004164D9">
        <w:rPr>
          <w:rFonts w:ascii="Arial" w:eastAsiaTheme="minorHAnsi" w:hAnsi="Arial" w:cs="Arial"/>
          <w:sz w:val="20"/>
          <w:lang w:val="pl-PL"/>
        </w:rPr>
        <w:t>Poprawa stanu środowiska naturalnego</w:t>
      </w:r>
      <w:r w:rsidRPr="004164D9">
        <w:rPr>
          <w:rFonts w:ascii="Arial" w:hAnsi="Arial" w:cs="Arial"/>
          <w:b/>
          <w:color w:val="000000"/>
          <w:sz w:val="20"/>
          <w:lang w:val="pl-PL"/>
        </w:rPr>
        <w:t>,</w:t>
      </w:r>
      <w:r w:rsidRPr="004164D9">
        <w:rPr>
          <w:rFonts w:ascii="Arial" w:hAnsi="Arial" w:cs="Arial"/>
          <w:color w:val="000000"/>
          <w:sz w:val="20"/>
          <w:lang w:val="pl-PL"/>
        </w:rPr>
        <w:t xml:space="preserve"> w ramach którego uwzględniono ograniczenie niskiej emisji oraz wzrost wykorzystania odnawialnych źródeł energii, ochronę zasobów środowiska przyrodniczego i edukacja ekologiczna, racjonalną </w:t>
      </w:r>
      <w:r w:rsidRPr="004164D9">
        <w:rPr>
          <w:rFonts w:ascii="Arial" w:hAnsi="Arial" w:cs="Arial"/>
          <w:color w:val="000000"/>
          <w:sz w:val="20"/>
          <w:lang w:val="pl-PL"/>
        </w:rPr>
        <w:lastRenderedPageBreak/>
        <w:t>gospodarkę odpadami. Zatem planowane działania są powiązane z problemami w zakresie ochrony środowiska i służą ich niwelowaniu.</w:t>
      </w:r>
    </w:p>
    <w:p w14:paraId="2F158C13" w14:textId="77777777" w:rsidR="004164D9" w:rsidRPr="004164D9" w:rsidRDefault="004164D9" w:rsidP="004164D9">
      <w:pPr>
        <w:numPr>
          <w:ilvl w:val="0"/>
          <w:numId w:val="3"/>
        </w:numPr>
        <w:spacing w:before="120" w:after="120" w:line="276" w:lineRule="auto"/>
        <w:ind w:left="357" w:hanging="357"/>
        <w:jc w:val="both"/>
        <w:rPr>
          <w:rFonts w:ascii="Arial" w:hAnsi="Arial" w:cs="Arial"/>
          <w:b/>
          <w:i/>
          <w:sz w:val="20"/>
          <w:lang w:val="pl-PL"/>
        </w:rPr>
      </w:pPr>
      <w:r w:rsidRPr="004164D9">
        <w:rPr>
          <w:rFonts w:ascii="Arial" w:hAnsi="Arial" w:cs="Arial"/>
          <w:b/>
          <w:color w:val="000000"/>
          <w:sz w:val="20"/>
          <w:lang w:val="pl-PL"/>
        </w:rPr>
        <w:t xml:space="preserve">rodzaj i skalę oddziaływania na środowisko, w szczególności: </w:t>
      </w:r>
      <w:r w:rsidRPr="004164D9">
        <w:rPr>
          <w:rFonts w:ascii="Arial" w:hAnsi="Arial" w:cs="Arial"/>
          <w:color w:val="000000"/>
          <w:sz w:val="20"/>
          <w:lang w:val="pl-PL"/>
        </w:rPr>
        <w:t>charakter planowanych działań, rodzaj i skala oddziaływań na środowisko oraz cechy obszaru objętego spodziewanym oddziaływaniem powodują, że realizacja zadań proponowanych w Strategii nie powoduje znaczącego negatywnego oddziaływania na środowisko:</w:t>
      </w:r>
    </w:p>
    <w:p w14:paraId="68AB7830" w14:textId="77777777" w:rsidR="004164D9" w:rsidRPr="004164D9" w:rsidRDefault="004164D9" w:rsidP="004164D9">
      <w:pPr>
        <w:numPr>
          <w:ilvl w:val="0"/>
          <w:numId w:val="4"/>
        </w:numPr>
        <w:spacing w:before="120" w:after="120" w:line="264" w:lineRule="atLeast"/>
        <w:ind w:right="-6"/>
        <w:jc w:val="both"/>
        <w:rPr>
          <w:rFonts w:ascii="Arial" w:hAnsi="Arial" w:cs="Arial"/>
          <w:b/>
          <w:color w:val="000000"/>
          <w:sz w:val="20"/>
          <w:lang w:val="pl-PL"/>
        </w:rPr>
      </w:pPr>
      <w:r w:rsidRPr="004164D9">
        <w:rPr>
          <w:rFonts w:ascii="Arial" w:hAnsi="Arial" w:cs="Arial"/>
          <w:b/>
          <w:color w:val="000000"/>
          <w:sz w:val="20"/>
          <w:lang w:val="pl-PL"/>
        </w:rPr>
        <w:t xml:space="preserve">prawdopodobieństwo wystąpienia, czas trwania, zasięg, częstotliwość i odwracalność oddziaływań – </w:t>
      </w:r>
      <w:r w:rsidRPr="004164D9">
        <w:rPr>
          <w:rFonts w:ascii="Arial" w:hAnsi="Arial" w:cs="Arial"/>
          <w:color w:val="000000"/>
          <w:sz w:val="20"/>
          <w:lang w:val="pl-PL"/>
        </w:rPr>
        <w:t>prawdopodobieństwo występowania oddziaływań wydaje się być niewielkie. Realizacja zadań wskazanych w dokumencie będzie rozłożona w czasie i przestrzeni. Oddziaływanie będzie miało charakter krótkoterminowy, a uciążliwości mogą wynikać jedynie z prowadzanych robót, np. hałas spowodowany czasowym wykorzystaniem sprzętu czy maszyn w fazie inwestycyjnej. Po zakończeniu inwestycji wystąpi oddziaływanie wtórne: poprawa ładu przestrzennego oraz ogólnej estetyki obszaru gminy.</w:t>
      </w:r>
    </w:p>
    <w:p w14:paraId="152EA7A0" w14:textId="77777777" w:rsidR="004164D9" w:rsidRPr="004164D9" w:rsidRDefault="004164D9" w:rsidP="004164D9">
      <w:pPr>
        <w:numPr>
          <w:ilvl w:val="0"/>
          <w:numId w:val="4"/>
        </w:numPr>
        <w:spacing w:before="120" w:after="120" w:line="264" w:lineRule="atLeast"/>
        <w:ind w:right="-6"/>
        <w:jc w:val="both"/>
        <w:rPr>
          <w:rFonts w:ascii="Arial" w:hAnsi="Arial" w:cs="Arial"/>
          <w:b/>
          <w:color w:val="000000"/>
          <w:sz w:val="20"/>
          <w:lang w:val="pl-PL"/>
        </w:rPr>
      </w:pPr>
      <w:r w:rsidRPr="004164D9">
        <w:rPr>
          <w:rFonts w:ascii="Arial" w:hAnsi="Arial" w:cs="Arial"/>
          <w:b/>
          <w:color w:val="000000"/>
          <w:sz w:val="20"/>
          <w:lang w:val="pl-PL"/>
        </w:rPr>
        <w:t xml:space="preserve">prawdopodobieństwo wystąpienia oddziaływań skumulowanych lub transgranicznych – </w:t>
      </w:r>
      <w:r w:rsidRPr="004164D9">
        <w:rPr>
          <w:rFonts w:ascii="Arial" w:hAnsi="Arial" w:cs="Arial"/>
          <w:color w:val="000000"/>
          <w:sz w:val="20"/>
          <w:lang w:val="pl-PL"/>
        </w:rPr>
        <w:t>n</w:t>
      </w:r>
      <w:r w:rsidRPr="004164D9">
        <w:rPr>
          <w:rFonts w:ascii="Arial" w:hAnsi="Arial" w:cs="Arial"/>
          <w:sz w:val="20"/>
          <w:lang w:val="pl-PL"/>
        </w:rPr>
        <w:t>ie przewiduje się możliwości wystąpienia skumulowanego oddziaływania na</w:t>
      </w:r>
      <w:r w:rsidRPr="004164D9">
        <w:rPr>
          <w:rFonts w:ascii="Arial" w:hAnsi="Arial" w:cs="Arial"/>
          <w:b/>
          <w:color w:val="000000"/>
          <w:sz w:val="20"/>
          <w:lang w:val="pl-PL"/>
        </w:rPr>
        <w:t xml:space="preserve"> </w:t>
      </w:r>
      <w:r w:rsidRPr="004164D9">
        <w:rPr>
          <w:rFonts w:ascii="Arial" w:hAnsi="Arial" w:cs="Arial"/>
          <w:sz w:val="20"/>
          <w:lang w:val="pl-PL"/>
        </w:rPr>
        <w:t xml:space="preserve">środowisko </w:t>
      </w:r>
      <w:r w:rsidRPr="004164D9">
        <w:rPr>
          <w:rFonts w:ascii="Arial" w:hAnsi="Arial" w:cs="Arial"/>
          <w:sz w:val="20"/>
          <w:lang w:val="pl-PL"/>
        </w:rPr>
        <w:br/>
        <w:t xml:space="preserve">w trakcie realizacji, jak i eksploatacji zrealizowanych inwestycji, a także oddziaływań transgranicznych przedsięwzięć ujętych w Strategii. </w:t>
      </w:r>
    </w:p>
    <w:p w14:paraId="39E164F7" w14:textId="77777777" w:rsidR="004164D9" w:rsidRPr="004164D9" w:rsidRDefault="004164D9" w:rsidP="004164D9">
      <w:pPr>
        <w:numPr>
          <w:ilvl w:val="0"/>
          <w:numId w:val="4"/>
        </w:numPr>
        <w:spacing w:before="120" w:after="120" w:line="264" w:lineRule="atLeast"/>
        <w:ind w:right="-6"/>
        <w:jc w:val="both"/>
        <w:rPr>
          <w:rFonts w:ascii="Arial" w:hAnsi="Arial" w:cs="Arial"/>
          <w:b/>
          <w:color w:val="000000"/>
          <w:sz w:val="20"/>
          <w:lang w:val="pl-PL"/>
        </w:rPr>
      </w:pPr>
      <w:r w:rsidRPr="004164D9">
        <w:rPr>
          <w:rFonts w:ascii="Arial" w:hAnsi="Arial" w:cs="Arial"/>
          <w:b/>
          <w:color w:val="000000"/>
          <w:sz w:val="20"/>
          <w:lang w:val="pl-PL"/>
        </w:rPr>
        <w:t xml:space="preserve">prawdopodobieństwo wystąpienia ryzyka dla zdrowia ludzi lub zagrożenia dla środowiska – </w:t>
      </w:r>
      <w:r w:rsidRPr="004164D9">
        <w:rPr>
          <w:rFonts w:ascii="Arial" w:hAnsi="Arial" w:cs="Arial"/>
          <w:color w:val="000000"/>
          <w:sz w:val="20"/>
          <w:lang w:val="pl-PL"/>
        </w:rPr>
        <w:t>nie przewiduje się możliwości wystąpienia ryzyka dla zdrowia ludzi lub zagrożenia dla środowiska. Aby zapewnić jak najmniejszą ingerencję zaplanowanych inwestycji w środowisko przyrodnicze, w trakcie realizacji prac będą przestrzegane obowiązujące normy i przepisy w zakresie ochrony środowiska przyrodniczego oraz przepisy BHP, a także zapewniona zostanie ochrona dla osób oraz własności publicznej poprzez unikanie uciążliwości, skażenia środowiska i hałasu. Inwestycje nie będą miały zatem negatywnego wpływu na środowisko oraz zdrowie ludzi, zarówno w fazie realizacji, jak i eksploatacji.</w:t>
      </w:r>
    </w:p>
    <w:p w14:paraId="16EB2848" w14:textId="77777777" w:rsidR="004164D9" w:rsidRPr="004164D9" w:rsidRDefault="004164D9" w:rsidP="004164D9">
      <w:pPr>
        <w:ind w:left="360"/>
        <w:jc w:val="both"/>
        <w:rPr>
          <w:rFonts w:ascii="Arial" w:hAnsi="Arial" w:cs="Arial"/>
          <w:b/>
          <w:color w:val="000000"/>
          <w:sz w:val="20"/>
          <w:lang w:val="pl-PL"/>
        </w:rPr>
      </w:pPr>
      <w:r w:rsidRPr="004164D9">
        <w:rPr>
          <w:rFonts w:ascii="Arial" w:hAnsi="Arial" w:cs="Arial"/>
          <w:color w:val="000000"/>
          <w:sz w:val="20"/>
          <w:lang w:val="pl-PL"/>
        </w:rPr>
        <w:t>W trakcie trwania realizacji inwestycji (na etapie budowy) potencjalne zagrożenie dla różnorodności biologicznej regionu może być związane z zajęciem terenu pod inwestycje, przemieszczaniem dużej ilości mas ziemi, składowaniem materiałów budowlanych, budową dróg dojazdowych, jak również rozjeżdżaniem terenu przez pracujący ciężki sprzęt. Prace budowlane, w połączeniu z regulacją stosunków wodnych, zwłaszcza odwodnienie terenu, mogą mieć znaczenie dla stopnia odwodnienia siedlisk przyrodniczych znajdujących się w bezpośrednim sąsiedztwie inwestycji. Ewentualne zanieczyszczenie terenu substancjami chemicznymi może prowadzić do pogorszenia stanu siedlisk przyrodniczych lub w skrajnych przypadkach ich zniszczenia. Zagrożenie to może mieć miejsce w przypadku awarii sprzętu technicznego używanego w trakcie prac budowlanych i wydostania się do środowiska substancji chemicznych (w tym ropopochodnych). Przewidywane drgania podłoża oraz hałas na etapie realizacji poszczególnych inwestycji, przypadkowe niszczenie środowiska bytowania zwierząt oraz roślin mogą zaburzyć migracje gatunków zamieszkujących dany obszar albo doprowadzić do wycofania się osobników danego gatunku z dotychczas zajmowanego terenu. Należy również dołożyć wszelkiej staranności, aby w trakcie prac budowlanych nie wystąpiły przypadkowe incydenty zabijania zwierząt żyjących na danym terenie, co zapobiegnie niekontrolowanemu zmniejszaniu ich populacji.</w:t>
      </w:r>
    </w:p>
    <w:p w14:paraId="56750FBF" w14:textId="77777777" w:rsidR="004164D9" w:rsidRPr="004164D9" w:rsidRDefault="004164D9" w:rsidP="004164D9">
      <w:pPr>
        <w:ind w:left="360"/>
        <w:jc w:val="both"/>
        <w:rPr>
          <w:rFonts w:ascii="Arial" w:hAnsi="Arial" w:cs="Arial"/>
          <w:b/>
          <w:color w:val="000000"/>
          <w:sz w:val="20"/>
          <w:lang w:val="pl-PL"/>
        </w:rPr>
      </w:pPr>
      <w:r w:rsidRPr="004164D9">
        <w:rPr>
          <w:rFonts w:ascii="Arial" w:hAnsi="Arial" w:cs="Arial"/>
          <w:color w:val="000000"/>
          <w:sz w:val="20"/>
          <w:lang w:val="pl-PL"/>
        </w:rPr>
        <w:t xml:space="preserve">W celu uniknięcia nieumyślnego niszczenia siedlisk gatunków należy przed przystąpieniem do prac dokonać obserwacji lokalizacji inwestycji pod kątem występowania gatunków chronionych. Dla złagodzenia oddziaływania na środowisko przyrodnicze, należy unikać prowadzenia prac w okresie lęgowym oraz rozrodczym. W miarę posiadanych możliwości powinno się umożliwić ptakom gniazdowanie np. poprzez powieszenie budek lęgowych lub pozostawienie/stworzenie miejsc korzystnych do zakładania gniazd. </w:t>
      </w:r>
    </w:p>
    <w:p w14:paraId="63E9F810" w14:textId="77777777" w:rsidR="004164D9" w:rsidRPr="004164D9" w:rsidRDefault="004164D9" w:rsidP="004164D9">
      <w:pPr>
        <w:ind w:left="360"/>
        <w:jc w:val="both"/>
        <w:rPr>
          <w:rFonts w:ascii="Arial" w:hAnsi="Arial" w:cs="Arial"/>
          <w:b/>
          <w:color w:val="000000"/>
          <w:sz w:val="20"/>
          <w:lang w:val="pl-PL"/>
        </w:rPr>
      </w:pPr>
      <w:r w:rsidRPr="004164D9">
        <w:rPr>
          <w:rFonts w:ascii="Arial" w:hAnsi="Arial" w:cs="Arial"/>
          <w:color w:val="000000"/>
          <w:sz w:val="20"/>
          <w:lang w:val="pl-PL"/>
        </w:rPr>
        <w:t xml:space="preserve">Realizacja zadań z zakresu infrastruktury liniowej powinna zostać poprzedzona odpowiednią organizacją. Wykorzystywanie sprzętu spełniającego odpowiednie normy i prowadzenia prac zgodnie z przepisami, przyczyni się do zmniejszenia emisji szkodliwych substancji. Kompensacja przyrodnicza w przypadku realizacji inwestycji drogowych związana jest z prowadzeniem nasadzeń zieleni wzdłuż ciągów komunikacyjnych. W celu minimalizacji ewentualnego negatywnego oddziaływania wycinki drzew na ptaki, ich przeprowadzenie powinna być zaplanowane poza sezonem lęgowym. </w:t>
      </w:r>
    </w:p>
    <w:p w14:paraId="21DE6A50" w14:textId="77777777" w:rsidR="004164D9" w:rsidRPr="004164D9" w:rsidRDefault="004164D9" w:rsidP="004164D9">
      <w:pPr>
        <w:ind w:left="360"/>
        <w:jc w:val="both"/>
        <w:rPr>
          <w:rFonts w:ascii="Arial" w:hAnsi="Arial" w:cs="Arial"/>
          <w:b/>
          <w:color w:val="000000"/>
          <w:sz w:val="20"/>
          <w:lang w:val="pl-PL"/>
        </w:rPr>
      </w:pPr>
      <w:r w:rsidRPr="004164D9">
        <w:rPr>
          <w:rFonts w:ascii="Arial" w:hAnsi="Arial" w:cs="Arial"/>
          <w:color w:val="000000"/>
          <w:sz w:val="20"/>
          <w:lang w:val="pl-PL"/>
        </w:rPr>
        <w:lastRenderedPageBreak/>
        <w:t xml:space="preserve">Inwestycje zostaną zaplanowane ze szczególnym uwzględnieniem i troską o występujące wartościowe obiekty i tereny. W przypadku zaistnienia takiej konieczności, podjęte zostaną działania mające na celu kompensację powstałych szkód poprzez podejmowanie równoważących je działań, prowadzące do przywrócenia równowagi przyrodniczej na danym terenie, wyrównania szkód dokonanych w środowisku przez realizację przedsięwzięcia oraz do zachowania walorów krajobrazowych (np. sadzenie drzew, objęcie opieką stanowisk zagrożonych gatunków roślin i zwierząt, budowa schronień dla ptaków). </w:t>
      </w:r>
    </w:p>
    <w:p w14:paraId="6CA13323" w14:textId="77777777" w:rsidR="004164D9" w:rsidRPr="004164D9" w:rsidRDefault="004164D9" w:rsidP="004164D9">
      <w:pPr>
        <w:ind w:left="360"/>
        <w:jc w:val="both"/>
        <w:rPr>
          <w:rFonts w:ascii="Arial" w:hAnsi="Arial" w:cs="Arial"/>
          <w:b/>
          <w:color w:val="000000"/>
          <w:sz w:val="20"/>
          <w:lang w:val="pl-PL"/>
        </w:rPr>
      </w:pPr>
      <w:r w:rsidRPr="004164D9">
        <w:rPr>
          <w:rFonts w:ascii="Arial" w:hAnsi="Arial" w:cs="Arial"/>
          <w:color w:val="000000"/>
          <w:sz w:val="20"/>
          <w:lang w:val="pl-PL"/>
        </w:rPr>
        <w:t xml:space="preserve">Działania strategiczne będą prowadzone zgodnie z zasadą zrównoważonego rozwoju i ich celem jest poprawa oraz utrzymanie dobrego stanu środowiska i poprawa jakości życia mieszkańców. Działania te nie wpłyną negatywnie na występujące tutaj obszary chronione oraz zabytki. </w:t>
      </w:r>
    </w:p>
    <w:p w14:paraId="7F33A8C4" w14:textId="77777777" w:rsidR="004164D9" w:rsidRPr="004164D9" w:rsidRDefault="004164D9" w:rsidP="004164D9">
      <w:pPr>
        <w:numPr>
          <w:ilvl w:val="0"/>
          <w:numId w:val="3"/>
        </w:numPr>
        <w:spacing w:before="120" w:after="120" w:line="276" w:lineRule="auto"/>
        <w:ind w:left="357" w:hanging="357"/>
        <w:jc w:val="both"/>
        <w:rPr>
          <w:rFonts w:ascii="Arial" w:hAnsi="Arial" w:cs="Arial"/>
          <w:sz w:val="20"/>
          <w:lang w:val="pl-PL"/>
        </w:rPr>
      </w:pPr>
      <w:r w:rsidRPr="004164D9">
        <w:rPr>
          <w:rFonts w:ascii="Arial" w:hAnsi="Arial" w:cs="Arial"/>
          <w:b/>
          <w:color w:val="000000"/>
          <w:sz w:val="20"/>
          <w:lang w:val="pl-PL"/>
        </w:rPr>
        <w:t>cechy obszaru objętego oddziaływaniem na środowisko</w:t>
      </w:r>
    </w:p>
    <w:p w14:paraId="7BDE6C7F" w14:textId="77777777" w:rsidR="004164D9" w:rsidRPr="004164D9" w:rsidRDefault="004164D9" w:rsidP="004164D9">
      <w:pPr>
        <w:numPr>
          <w:ilvl w:val="0"/>
          <w:numId w:val="5"/>
        </w:numPr>
        <w:spacing w:before="120" w:after="120" w:line="276" w:lineRule="auto"/>
        <w:jc w:val="both"/>
        <w:rPr>
          <w:rFonts w:ascii="Arial" w:hAnsi="Arial" w:cs="Arial"/>
          <w:b/>
          <w:color w:val="000000"/>
          <w:sz w:val="20"/>
          <w:lang w:val="pl-PL"/>
        </w:rPr>
      </w:pPr>
      <w:r w:rsidRPr="004164D9">
        <w:rPr>
          <w:rFonts w:ascii="Arial" w:hAnsi="Arial" w:cs="Arial"/>
          <w:b/>
          <w:color w:val="000000"/>
          <w:sz w:val="20"/>
          <w:lang w:val="pl-PL"/>
        </w:rPr>
        <w:t xml:space="preserve">obszary o szczególnych właściwościach naturalnych lub posiadające znaczenie dla dziedzictwa kulturowego, wrażliwe na oddziaływania, istniejące przekroczenia standardów jakości środowiska lub intensywne wykorzystanie terenu – </w:t>
      </w:r>
      <w:r w:rsidRPr="004164D9">
        <w:rPr>
          <w:rFonts w:ascii="Arial" w:hAnsi="Arial" w:cs="Arial"/>
          <w:color w:val="000000"/>
          <w:sz w:val="20"/>
          <w:lang w:val="pl-PL"/>
        </w:rPr>
        <w:t xml:space="preserve">Strategia Rozwoju Gminy </w:t>
      </w:r>
      <w:r w:rsidRPr="004164D9">
        <w:rPr>
          <w:rFonts w:ascii="Arial" w:hAnsi="Arial" w:cs="Arial"/>
          <w:sz w:val="20"/>
          <w:lang w:val="pl-PL"/>
        </w:rPr>
        <w:t xml:space="preserve">jest dokumentem obejmującym teren gminy, w tym obszary o ważnym znaczeniu dla dziedzictwa kulturowego (tj. zabytki) oraz obszary o szczególnych właściwościach naturalnych. </w:t>
      </w:r>
      <w:r w:rsidRPr="004164D9">
        <w:rPr>
          <w:rFonts w:ascii="Arial" w:eastAsia="TTE18C75F0t00" w:hAnsi="Arial" w:cs="Arial"/>
          <w:sz w:val="20"/>
          <w:lang w:val="pl-PL"/>
        </w:rPr>
        <w:t>Jednakże, obowiązek uzgadniania wszelkich prac inwestycyjnych w ww. strefie</w:t>
      </w:r>
      <w:r w:rsidRPr="004164D9">
        <w:rPr>
          <w:rFonts w:ascii="Arial" w:hAnsi="Arial" w:cs="Arial"/>
          <w:b/>
          <w:color w:val="000000"/>
          <w:sz w:val="20"/>
          <w:lang w:val="pl-PL"/>
        </w:rPr>
        <w:t xml:space="preserve"> </w:t>
      </w:r>
      <w:r w:rsidRPr="004164D9">
        <w:rPr>
          <w:rFonts w:ascii="Arial" w:eastAsia="TTE18C75F0t00" w:hAnsi="Arial" w:cs="Arial"/>
          <w:sz w:val="20"/>
          <w:lang w:val="pl-PL"/>
        </w:rPr>
        <w:t>ze służbami Wojewódzkiego Konserwatora Zabytków eliminuje wystąpienie negatywnego wpływu</w:t>
      </w:r>
      <w:r w:rsidRPr="004164D9">
        <w:rPr>
          <w:rFonts w:ascii="Arial" w:hAnsi="Arial" w:cs="Arial"/>
          <w:b/>
          <w:color w:val="000000"/>
          <w:sz w:val="20"/>
          <w:lang w:val="pl-PL"/>
        </w:rPr>
        <w:t xml:space="preserve"> </w:t>
      </w:r>
      <w:r w:rsidRPr="004164D9">
        <w:rPr>
          <w:rFonts w:ascii="Arial" w:eastAsia="TTE18C75F0t00" w:hAnsi="Arial" w:cs="Arial"/>
          <w:sz w:val="20"/>
          <w:lang w:val="pl-PL"/>
        </w:rPr>
        <w:t>przewidzianych inwestycji na zachowanie dziedzictwa kulturowego. Prace związane z realizacją</w:t>
      </w:r>
      <w:r w:rsidRPr="004164D9">
        <w:rPr>
          <w:rFonts w:ascii="Arial" w:hAnsi="Arial" w:cs="Arial"/>
          <w:b/>
          <w:color w:val="000000"/>
          <w:sz w:val="20"/>
          <w:lang w:val="pl-PL"/>
        </w:rPr>
        <w:t xml:space="preserve"> </w:t>
      </w:r>
      <w:r w:rsidRPr="004164D9">
        <w:rPr>
          <w:rFonts w:ascii="Arial" w:eastAsia="TTE18C75F0t00" w:hAnsi="Arial" w:cs="Arial"/>
          <w:sz w:val="20"/>
          <w:lang w:val="pl-PL"/>
        </w:rPr>
        <w:t>projektów zostaną przeprowadzone w sposób wywierający minimalny wpływ na środowisko</w:t>
      </w:r>
      <w:r w:rsidRPr="004164D9">
        <w:rPr>
          <w:rFonts w:ascii="Arial" w:hAnsi="Arial" w:cs="Arial"/>
          <w:b/>
          <w:color w:val="000000"/>
          <w:sz w:val="20"/>
          <w:lang w:val="pl-PL"/>
        </w:rPr>
        <w:t xml:space="preserve"> </w:t>
      </w:r>
      <w:r w:rsidRPr="004164D9">
        <w:rPr>
          <w:rFonts w:ascii="Arial" w:eastAsia="TTE18C75F0t00" w:hAnsi="Arial" w:cs="Arial"/>
          <w:sz w:val="20"/>
          <w:lang w:val="pl-PL"/>
        </w:rPr>
        <w:t>przyrodnicze.</w:t>
      </w:r>
      <w:r w:rsidRPr="004164D9">
        <w:rPr>
          <w:rFonts w:ascii="Arial" w:hAnsi="Arial" w:cs="Arial"/>
          <w:sz w:val="20"/>
          <w:lang w:val="pl-PL"/>
        </w:rPr>
        <w:t xml:space="preserve"> </w:t>
      </w:r>
    </w:p>
    <w:p w14:paraId="1EF549BC" w14:textId="77777777" w:rsidR="004164D9" w:rsidRPr="004164D9" w:rsidRDefault="004164D9" w:rsidP="004164D9">
      <w:pPr>
        <w:numPr>
          <w:ilvl w:val="0"/>
          <w:numId w:val="5"/>
        </w:numPr>
        <w:spacing w:before="120" w:after="120" w:line="264" w:lineRule="atLeast"/>
        <w:ind w:right="-6"/>
        <w:jc w:val="both"/>
        <w:rPr>
          <w:rFonts w:ascii="Arial" w:hAnsi="Arial" w:cs="Arial"/>
          <w:sz w:val="20"/>
          <w:lang w:val="pl-PL"/>
        </w:rPr>
      </w:pPr>
      <w:r w:rsidRPr="004164D9">
        <w:rPr>
          <w:rFonts w:ascii="Arial" w:hAnsi="Arial" w:cs="Arial"/>
          <w:b/>
          <w:color w:val="000000"/>
          <w:sz w:val="20"/>
          <w:lang w:val="pl-PL"/>
        </w:rPr>
        <w:t>formy ochrony przyrody w rozumieniu ustawy z dnia 16 kwietnia 2004 r. o ochronie przyrody oraz obszary podlegające ochronie zgodnie z prawem międzynarodowym –</w:t>
      </w:r>
      <w:r w:rsidRPr="004164D9">
        <w:rPr>
          <w:rFonts w:ascii="Arial" w:hAnsi="Arial" w:cs="Arial"/>
          <w:sz w:val="20"/>
          <w:lang w:val="pl-PL"/>
        </w:rPr>
        <w:t xml:space="preserve">Zgodnie z danymi w Centralnym Rejestrze Form Ochrony Przyrody w granicach administracyjnych gminy Lipno znajdują się: </w:t>
      </w:r>
    </w:p>
    <w:p w14:paraId="431A860A" w14:textId="77777777" w:rsidR="004164D9" w:rsidRPr="004164D9" w:rsidRDefault="004164D9" w:rsidP="004164D9">
      <w:pPr>
        <w:pStyle w:val="Akapitzlist"/>
        <w:numPr>
          <w:ilvl w:val="0"/>
          <w:numId w:val="7"/>
        </w:numPr>
        <w:ind w:right="0"/>
        <w:rPr>
          <w:rFonts w:ascii="Arial" w:hAnsi="Arial" w:cs="Arial"/>
          <w:sz w:val="20"/>
          <w:lang w:eastAsia="pl-PL"/>
        </w:rPr>
      </w:pPr>
      <w:r w:rsidRPr="004164D9">
        <w:rPr>
          <w:rFonts w:ascii="Arial" w:hAnsi="Arial" w:cs="Arial"/>
          <w:sz w:val="20"/>
          <w:lang w:eastAsia="pl-PL"/>
        </w:rPr>
        <w:t>rezerwat przyrody „Stary Zagaj”,</w:t>
      </w:r>
    </w:p>
    <w:p w14:paraId="6B95182E" w14:textId="77777777" w:rsidR="004164D9" w:rsidRPr="004164D9" w:rsidRDefault="004164D9" w:rsidP="004164D9">
      <w:pPr>
        <w:pStyle w:val="Akapitzlist"/>
        <w:numPr>
          <w:ilvl w:val="0"/>
          <w:numId w:val="7"/>
        </w:numPr>
        <w:ind w:right="0"/>
        <w:rPr>
          <w:rFonts w:ascii="Arial" w:hAnsi="Arial" w:cs="Arial"/>
          <w:sz w:val="20"/>
          <w:lang w:eastAsia="pl-PL"/>
        </w:rPr>
      </w:pPr>
      <w:r w:rsidRPr="004164D9">
        <w:rPr>
          <w:rFonts w:ascii="Arial" w:hAnsi="Arial" w:cs="Arial"/>
          <w:sz w:val="20"/>
          <w:lang w:eastAsia="pl-PL"/>
        </w:rPr>
        <w:t>rezerwat przyrody „Bór Wąkole im. prof. Klemensa Kępczyńskiego”,</w:t>
      </w:r>
    </w:p>
    <w:p w14:paraId="51CD81CA" w14:textId="77777777" w:rsidR="004164D9" w:rsidRPr="004164D9" w:rsidRDefault="004164D9" w:rsidP="004164D9">
      <w:pPr>
        <w:pStyle w:val="Akapitzlist"/>
        <w:numPr>
          <w:ilvl w:val="0"/>
          <w:numId w:val="7"/>
        </w:numPr>
        <w:ind w:right="0"/>
        <w:rPr>
          <w:rFonts w:ascii="Arial" w:hAnsi="Arial" w:cs="Arial"/>
          <w:sz w:val="20"/>
          <w:lang w:eastAsia="pl-PL"/>
        </w:rPr>
      </w:pPr>
      <w:r w:rsidRPr="004164D9">
        <w:rPr>
          <w:rFonts w:ascii="Arial" w:hAnsi="Arial" w:cs="Arial"/>
          <w:sz w:val="20"/>
          <w:lang w:eastAsia="pl-PL"/>
        </w:rPr>
        <w:t>obszar chronionego krajobrazu Jezioro Skępskie,</w:t>
      </w:r>
    </w:p>
    <w:p w14:paraId="53F8FD92" w14:textId="77777777" w:rsidR="004164D9" w:rsidRPr="004164D9" w:rsidRDefault="004164D9" w:rsidP="004164D9">
      <w:pPr>
        <w:pStyle w:val="Akapitzlist"/>
        <w:numPr>
          <w:ilvl w:val="0"/>
          <w:numId w:val="7"/>
        </w:numPr>
        <w:ind w:right="0"/>
        <w:rPr>
          <w:rFonts w:ascii="Arial" w:hAnsi="Arial" w:cs="Arial"/>
          <w:sz w:val="20"/>
          <w:lang w:eastAsia="pl-PL"/>
        </w:rPr>
      </w:pPr>
      <w:r w:rsidRPr="004164D9">
        <w:rPr>
          <w:rFonts w:ascii="Arial" w:hAnsi="Arial" w:cs="Arial"/>
          <w:sz w:val="20"/>
          <w:lang w:eastAsia="pl-PL"/>
        </w:rPr>
        <w:t>obszar chronionego krajobrazu Niziny Ciechocińskiej,</w:t>
      </w:r>
    </w:p>
    <w:p w14:paraId="1224A60E" w14:textId="77777777" w:rsidR="004164D9" w:rsidRPr="004164D9" w:rsidRDefault="004164D9" w:rsidP="004164D9">
      <w:pPr>
        <w:pStyle w:val="Akapitzlist"/>
        <w:numPr>
          <w:ilvl w:val="0"/>
          <w:numId w:val="7"/>
        </w:numPr>
        <w:ind w:right="0"/>
        <w:rPr>
          <w:rFonts w:ascii="Arial" w:hAnsi="Arial" w:cs="Arial"/>
          <w:sz w:val="20"/>
          <w:lang w:eastAsia="pl-PL"/>
        </w:rPr>
      </w:pPr>
      <w:r w:rsidRPr="004164D9">
        <w:rPr>
          <w:rFonts w:ascii="Arial" w:hAnsi="Arial" w:cs="Arial"/>
          <w:sz w:val="20"/>
          <w:lang w:eastAsia="pl-PL"/>
        </w:rPr>
        <w:t>obszar natura 2000 Cyprianka PLH040013,</w:t>
      </w:r>
    </w:p>
    <w:p w14:paraId="23031CA9" w14:textId="77777777" w:rsidR="004164D9" w:rsidRPr="004164D9" w:rsidRDefault="004164D9" w:rsidP="004164D9">
      <w:pPr>
        <w:pStyle w:val="Akapitzlist"/>
        <w:numPr>
          <w:ilvl w:val="0"/>
          <w:numId w:val="7"/>
        </w:numPr>
        <w:ind w:right="0"/>
        <w:rPr>
          <w:rFonts w:ascii="Arial" w:hAnsi="Arial" w:cs="Arial"/>
          <w:sz w:val="20"/>
          <w:lang w:eastAsia="pl-PL"/>
        </w:rPr>
      </w:pPr>
      <w:r w:rsidRPr="004164D9">
        <w:rPr>
          <w:rFonts w:ascii="Arial" w:hAnsi="Arial" w:cs="Arial"/>
          <w:sz w:val="20"/>
          <w:lang w:eastAsia="pl-PL"/>
        </w:rPr>
        <w:t>obszar natura 2000 Stary Zagaj PLH040038,</w:t>
      </w:r>
    </w:p>
    <w:p w14:paraId="496F545D" w14:textId="77777777" w:rsidR="004164D9" w:rsidRPr="004164D9" w:rsidRDefault="004164D9" w:rsidP="004164D9">
      <w:pPr>
        <w:pStyle w:val="Akapitzlist"/>
        <w:numPr>
          <w:ilvl w:val="0"/>
          <w:numId w:val="7"/>
        </w:numPr>
        <w:ind w:right="0"/>
        <w:rPr>
          <w:rFonts w:ascii="Arial" w:hAnsi="Arial" w:cs="Arial"/>
          <w:sz w:val="20"/>
          <w:lang w:eastAsia="pl-PL"/>
        </w:rPr>
      </w:pPr>
      <w:r w:rsidRPr="004164D9">
        <w:rPr>
          <w:rFonts w:ascii="Arial" w:hAnsi="Arial" w:cs="Arial"/>
          <w:sz w:val="20"/>
          <w:lang w:eastAsia="pl-PL"/>
        </w:rPr>
        <w:t>pomnik przyrody.</w:t>
      </w:r>
    </w:p>
    <w:p w14:paraId="79A0B353" w14:textId="77777777" w:rsidR="002C3DC8" w:rsidRPr="00584CA8" w:rsidRDefault="002C3DC8" w:rsidP="004164D9">
      <w:pPr>
        <w:spacing w:before="120" w:after="120"/>
        <w:ind w:left="357"/>
        <w:jc w:val="both"/>
        <w:rPr>
          <w:rFonts w:ascii="Arial" w:hAnsi="Arial" w:cs="Arial"/>
          <w:i/>
          <w:sz w:val="22"/>
          <w:szCs w:val="22"/>
          <w:lang w:val="pl-PL"/>
        </w:rPr>
      </w:pPr>
    </w:p>
    <w:sectPr w:rsidR="002C3DC8" w:rsidRPr="00584CA8" w:rsidSect="005215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5E7F8" w14:textId="77777777" w:rsidR="004164D9" w:rsidRDefault="004164D9" w:rsidP="004164D9">
      <w:r>
        <w:separator/>
      </w:r>
    </w:p>
  </w:endnote>
  <w:endnote w:type="continuationSeparator" w:id="0">
    <w:p w14:paraId="0AF512D8" w14:textId="77777777" w:rsidR="004164D9" w:rsidRDefault="004164D9" w:rsidP="0041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7" w:usb1="08070000" w:usb2="00000010" w:usb3="00000000" w:csb0="00020003" w:csb1="00000000"/>
  </w:font>
  <w:font w:name="TTE18C75F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3CFC8" w14:textId="77777777" w:rsidR="004164D9" w:rsidRDefault="004164D9" w:rsidP="004164D9">
      <w:r>
        <w:separator/>
      </w:r>
    </w:p>
  </w:footnote>
  <w:footnote w:type="continuationSeparator" w:id="0">
    <w:p w14:paraId="534D750D" w14:textId="77777777" w:rsidR="004164D9" w:rsidRDefault="004164D9" w:rsidP="004164D9">
      <w:r>
        <w:continuationSeparator/>
      </w:r>
    </w:p>
  </w:footnote>
  <w:footnote w:id="1">
    <w:p w14:paraId="73060616" w14:textId="77777777" w:rsidR="004164D9" w:rsidRPr="008D071E" w:rsidRDefault="004164D9" w:rsidP="004164D9">
      <w:pPr>
        <w:pStyle w:val="Tekstprzypisudolnego"/>
        <w:rPr>
          <w:rFonts w:ascii="Arial" w:hAnsi="Arial" w:cs="Arial"/>
          <w:sz w:val="16"/>
        </w:rPr>
      </w:pPr>
      <w:r w:rsidRPr="008D071E">
        <w:rPr>
          <w:rStyle w:val="Odwoanieprzypisudolnego"/>
          <w:rFonts w:ascii="Arial" w:hAnsi="Arial" w:cs="Arial"/>
          <w:sz w:val="16"/>
        </w:rPr>
        <w:footnoteRef/>
      </w:r>
      <w:r w:rsidRPr="008D071E">
        <w:rPr>
          <w:rFonts w:ascii="Arial" w:hAnsi="Arial" w:cs="Arial"/>
          <w:sz w:val="16"/>
        </w:rPr>
        <w:t xml:space="preserve"> Projekt kluczowy Strategii Rozwoju Województwa Kujawsko-Pomorskiego do 2030 roku – Strategia Przyspieszenia 2030+</w:t>
      </w:r>
    </w:p>
  </w:footnote>
  <w:footnote w:id="2">
    <w:p w14:paraId="49247C98" w14:textId="77777777" w:rsidR="004164D9" w:rsidRPr="008D071E" w:rsidRDefault="004164D9" w:rsidP="004164D9">
      <w:pPr>
        <w:pStyle w:val="Tekstprzypisudolnego"/>
        <w:rPr>
          <w:rFonts w:ascii="Arial" w:hAnsi="Arial" w:cs="Arial"/>
        </w:rPr>
      </w:pPr>
      <w:r w:rsidRPr="008D071E">
        <w:rPr>
          <w:rStyle w:val="Odwoanieprzypisudolnego"/>
          <w:rFonts w:ascii="Arial" w:hAnsi="Arial" w:cs="Arial"/>
          <w:sz w:val="16"/>
        </w:rPr>
        <w:footnoteRef/>
      </w:r>
      <w:r w:rsidRPr="008D071E">
        <w:rPr>
          <w:rFonts w:ascii="Arial" w:hAnsi="Arial" w:cs="Arial"/>
          <w:sz w:val="16"/>
        </w:rPr>
        <w:t xml:space="preserve"> Jak wyżej</w:t>
      </w:r>
    </w:p>
  </w:footnote>
  <w:footnote w:id="3">
    <w:p w14:paraId="17CC9DC6" w14:textId="77777777" w:rsidR="004164D9" w:rsidRPr="008D071E" w:rsidRDefault="004164D9" w:rsidP="004164D9">
      <w:pPr>
        <w:pStyle w:val="Tekstprzypisudolnego"/>
        <w:rPr>
          <w:rFonts w:ascii="Arial" w:hAnsi="Arial" w:cs="Arial"/>
          <w:sz w:val="16"/>
          <w:szCs w:val="16"/>
        </w:rPr>
      </w:pPr>
      <w:r w:rsidRPr="008D071E">
        <w:rPr>
          <w:rStyle w:val="Odwoanieprzypisudolnego"/>
          <w:rFonts w:ascii="Arial" w:hAnsi="Arial" w:cs="Arial"/>
          <w:sz w:val="16"/>
          <w:szCs w:val="16"/>
        </w:rPr>
        <w:footnoteRef/>
      </w:r>
      <w:r w:rsidRPr="008D071E">
        <w:rPr>
          <w:rFonts w:ascii="Arial" w:hAnsi="Arial" w:cs="Arial"/>
          <w:sz w:val="16"/>
          <w:szCs w:val="16"/>
        </w:rPr>
        <w:t xml:space="preserve"> Jak wyżej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74"/>
    <w:multiLevelType w:val="singleLevel"/>
    <w:tmpl w:val="00000074"/>
    <w:name w:val="WW8Num133"/>
    <w:lvl w:ilvl="0">
      <w:start w:val="1"/>
      <w:numFmt w:val="decimal"/>
      <w:lvlText w:val="%1)"/>
      <w:lvlJc w:val="left"/>
      <w:pPr>
        <w:tabs>
          <w:tab w:val="num" w:pos="0"/>
        </w:tabs>
        <w:ind w:left="720" w:hanging="360"/>
      </w:pPr>
    </w:lvl>
  </w:abstractNum>
  <w:abstractNum w:abstractNumId="1" w15:restartNumberingAfterBreak="0">
    <w:nsid w:val="18F05C2C"/>
    <w:multiLevelType w:val="hybridMultilevel"/>
    <w:tmpl w:val="7F94E46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477CDF"/>
    <w:multiLevelType w:val="hybridMultilevel"/>
    <w:tmpl w:val="A35EFE88"/>
    <w:lvl w:ilvl="0" w:tplc="63ECDA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C374D48"/>
    <w:multiLevelType w:val="hybridMultilevel"/>
    <w:tmpl w:val="254A03A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0A228B"/>
    <w:multiLevelType w:val="hybridMultilevel"/>
    <w:tmpl w:val="D3C6126E"/>
    <w:lvl w:ilvl="0" w:tplc="534857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63E045E6"/>
    <w:multiLevelType w:val="hybridMultilevel"/>
    <w:tmpl w:val="799CDDE2"/>
    <w:lvl w:ilvl="0" w:tplc="349239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61B79C3"/>
    <w:multiLevelType w:val="hybridMultilevel"/>
    <w:tmpl w:val="C0F4D024"/>
    <w:lvl w:ilvl="0" w:tplc="7048F9B2">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2252D3"/>
    <w:multiLevelType w:val="hybridMultilevel"/>
    <w:tmpl w:val="7D2EAAE4"/>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DA"/>
    <w:rsid w:val="0006086C"/>
    <w:rsid w:val="000A7419"/>
    <w:rsid w:val="00172ACC"/>
    <w:rsid w:val="00270EAF"/>
    <w:rsid w:val="002C3DC8"/>
    <w:rsid w:val="00300EAE"/>
    <w:rsid w:val="004164D9"/>
    <w:rsid w:val="0044432A"/>
    <w:rsid w:val="00465AE8"/>
    <w:rsid w:val="004712DA"/>
    <w:rsid w:val="004F3F28"/>
    <w:rsid w:val="00510E5C"/>
    <w:rsid w:val="00584CA8"/>
    <w:rsid w:val="005E067E"/>
    <w:rsid w:val="005E7FC2"/>
    <w:rsid w:val="00615F7C"/>
    <w:rsid w:val="00641BA3"/>
    <w:rsid w:val="00674B1C"/>
    <w:rsid w:val="006769FA"/>
    <w:rsid w:val="006E7E54"/>
    <w:rsid w:val="0070000B"/>
    <w:rsid w:val="00747611"/>
    <w:rsid w:val="00767200"/>
    <w:rsid w:val="007A5581"/>
    <w:rsid w:val="00865028"/>
    <w:rsid w:val="008D0051"/>
    <w:rsid w:val="008D0D26"/>
    <w:rsid w:val="00922D46"/>
    <w:rsid w:val="00935733"/>
    <w:rsid w:val="00A0505F"/>
    <w:rsid w:val="00B91705"/>
    <w:rsid w:val="00D611B3"/>
    <w:rsid w:val="00DF5E10"/>
    <w:rsid w:val="00E25ED8"/>
    <w:rsid w:val="00FF7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2271"/>
  <w15:chartTrackingRefBased/>
  <w15:docId w15:val="{8D1DA2AE-70B6-427E-B95E-6BA3DD7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15F7C"/>
    <w:pPr>
      <w:spacing w:after="0" w:line="240" w:lineRule="auto"/>
    </w:pPr>
    <w:rPr>
      <w:rFonts w:ascii="Times New Roman" w:eastAsia="Times New Roman" w:hAnsi="Times New Roman" w:cs="Times New Roman"/>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15F7C"/>
    <w:rPr>
      <w:color w:val="0563C1" w:themeColor="hyperlink"/>
      <w:u w:val="single"/>
    </w:rPr>
  </w:style>
  <w:style w:type="character" w:styleId="Odwoaniedokomentarza">
    <w:name w:val="annotation reference"/>
    <w:basedOn w:val="Domylnaczcionkaakapitu"/>
    <w:uiPriority w:val="99"/>
    <w:semiHidden/>
    <w:unhideWhenUsed/>
    <w:rsid w:val="00615F7C"/>
    <w:rPr>
      <w:sz w:val="16"/>
      <w:szCs w:val="16"/>
    </w:rPr>
  </w:style>
  <w:style w:type="paragraph" w:styleId="Tekstkomentarza">
    <w:name w:val="annotation text"/>
    <w:basedOn w:val="Normalny"/>
    <w:link w:val="TekstkomentarzaZnak"/>
    <w:uiPriority w:val="99"/>
    <w:unhideWhenUsed/>
    <w:rsid w:val="00615F7C"/>
    <w:rPr>
      <w:sz w:val="20"/>
      <w:szCs w:val="20"/>
    </w:rPr>
  </w:style>
  <w:style w:type="character" w:customStyle="1" w:styleId="TekstkomentarzaZnak">
    <w:name w:val="Tekst komentarza Znak"/>
    <w:basedOn w:val="Domylnaczcionkaakapitu"/>
    <w:link w:val="Tekstkomentarza"/>
    <w:uiPriority w:val="99"/>
    <w:rsid w:val="00615F7C"/>
    <w:rPr>
      <w:rFonts w:ascii="Times New Roman" w:eastAsia="Times New Roman" w:hAnsi="Times New Roman"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615F7C"/>
    <w:rPr>
      <w:b/>
      <w:bCs/>
    </w:rPr>
  </w:style>
  <w:style w:type="character" w:customStyle="1" w:styleId="TematkomentarzaZnak">
    <w:name w:val="Temat komentarza Znak"/>
    <w:basedOn w:val="TekstkomentarzaZnak"/>
    <w:link w:val="Tematkomentarza"/>
    <w:uiPriority w:val="99"/>
    <w:semiHidden/>
    <w:rsid w:val="00615F7C"/>
    <w:rPr>
      <w:rFonts w:ascii="Times New Roman" w:eastAsia="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rsid w:val="00615F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5F7C"/>
    <w:rPr>
      <w:rFonts w:ascii="Segoe UI" w:eastAsia="Times New Roman" w:hAnsi="Segoe UI" w:cs="Segoe UI"/>
      <w:sz w:val="18"/>
      <w:szCs w:val="18"/>
      <w:lang w:val="en-US" w:eastAsia="pl-PL"/>
    </w:rPr>
  </w:style>
  <w:style w:type="character" w:styleId="Pogrubienie">
    <w:name w:val="Strong"/>
    <w:basedOn w:val="Domylnaczcionkaakapitu"/>
    <w:uiPriority w:val="22"/>
    <w:qFormat/>
    <w:rsid w:val="00922D46"/>
    <w:rPr>
      <w:b/>
      <w:bCs/>
    </w:rPr>
  </w:style>
  <w:style w:type="paragraph" w:styleId="NormalnyWeb">
    <w:name w:val="Normal (Web)"/>
    <w:basedOn w:val="Normalny"/>
    <w:uiPriority w:val="99"/>
    <w:unhideWhenUsed/>
    <w:rsid w:val="00922D46"/>
    <w:pPr>
      <w:spacing w:after="150"/>
    </w:pPr>
    <w:rPr>
      <w:lang w:val="pl-PL"/>
    </w:rPr>
  </w:style>
  <w:style w:type="character" w:styleId="UyteHipercze">
    <w:name w:val="FollowedHyperlink"/>
    <w:basedOn w:val="Domylnaczcionkaakapitu"/>
    <w:uiPriority w:val="99"/>
    <w:semiHidden/>
    <w:unhideWhenUsed/>
    <w:rsid w:val="006E7E54"/>
    <w:rPr>
      <w:color w:val="954F72" w:themeColor="followedHyperlink"/>
      <w:u w:val="single"/>
    </w:rPr>
  </w:style>
  <w:style w:type="table" w:styleId="Tabela-Siatka">
    <w:name w:val="Table Grid"/>
    <w:basedOn w:val="Standardowy"/>
    <w:uiPriority w:val="39"/>
    <w:rsid w:val="00584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164D9"/>
    <w:pPr>
      <w:spacing w:before="120" w:after="120" w:line="264" w:lineRule="atLeast"/>
      <w:ind w:left="720" w:right="-6"/>
      <w:contextualSpacing/>
      <w:jc w:val="both"/>
    </w:pPr>
    <w:rPr>
      <w:sz w:val="22"/>
      <w:szCs w:val="20"/>
      <w:lang w:val="pl-PL" w:eastAsia="en-US"/>
    </w:rPr>
  </w:style>
  <w:style w:type="paragraph" w:styleId="Tekstprzypisudolnego">
    <w:name w:val="footnote text"/>
    <w:basedOn w:val="Normalny"/>
    <w:link w:val="TekstprzypisudolnegoZnak"/>
    <w:uiPriority w:val="99"/>
    <w:semiHidden/>
    <w:unhideWhenUsed/>
    <w:rsid w:val="004164D9"/>
    <w:pPr>
      <w:ind w:left="1134" w:right="-6"/>
      <w:jc w:val="both"/>
    </w:pPr>
    <w:rPr>
      <w:sz w:val="20"/>
      <w:szCs w:val="20"/>
      <w:lang w:val="pl-PL" w:eastAsia="en-US"/>
    </w:rPr>
  </w:style>
  <w:style w:type="character" w:customStyle="1" w:styleId="TekstprzypisudolnegoZnak">
    <w:name w:val="Tekst przypisu dolnego Znak"/>
    <w:basedOn w:val="Domylnaczcionkaakapitu"/>
    <w:link w:val="Tekstprzypisudolnego"/>
    <w:uiPriority w:val="99"/>
    <w:semiHidden/>
    <w:rsid w:val="004164D9"/>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4164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8CDEB-EA8B-49D1-85C1-387A7CEE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2832</Words>
  <Characters>16997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Joanna Kaszubska</cp:lastModifiedBy>
  <cp:revision>9</cp:revision>
  <dcterms:created xsi:type="dcterms:W3CDTF">2021-08-26T07:07:00Z</dcterms:created>
  <dcterms:modified xsi:type="dcterms:W3CDTF">2022-05-18T08:23:00Z</dcterms:modified>
</cp:coreProperties>
</file>