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DE2F85">
        <w:rPr>
          <w:rStyle w:val="FontStyle75"/>
        </w:rPr>
        <w:t>„</w:t>
      </w:r>
      <w:r w:rsidR="00DE2F85">
        <w:rPr>
          <w:b/>
        </w:rPr>
        <w:t xml:space="preserve">Dostawę </w:t>
      </w:r>
      <w:r w:rsidR="002C399A">
        <w:rPr>
          <w:b/>
        </w:rPr>
        <w:t>ekogroszku</w:t>
      </w:r>
      <w:bookmarkStart w:id="0" w:name="_GoBack"/>
      <w:bookmarkEnd w:id="0"/>
      <w:r w:rsidR="00DE2F85">
        <w:rPr>
          <w:b/>
        </w:rPr>
        <w:t xml:space="preserve"> do jednostek organizacyjnych Gminy Lipno</w:t>
      </w:r>
      <w:r w:rsidR="00DE2F85">
        <w:rPr>
          <w:rStyle w:val="FontStyle75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F69E7"/>
    <w:rsid w:val="002C399A"/>
    <w:rsid w:val="00376280"/>
    <w:rsid w:val="0039405F"/>
    <w:rsid w:val="003A530A"/>
    <w:rsid w:val="003A718F"/>
    <w:rsid w:val="006075ED"/>
    <w:rsid w:val="00756024"/>
    <w:rsid w:val="007B318B"/>
    <w:rsid w:val="00814A8C"/>
    <w:rsid w:val="00B905AB"/>
    <w:rsid w:val="00C601D3"/>
    <w:rsid w:val="00CB61E2"/>
    <w:rsid w:val="00CE12C0"/>
    <w:rsid w:val="00CE393D"/>
    <w:rsid w:val="00D7128F"/>
    <w:rsid w:val="00DE2F85"/>
    <w:rsid w:val="00EF2474"/>
    <w:rsid w:val="00F06C5E"/>
    <w:rsid w:val="00F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8F04"/>
  <w15:docId w15:val="{5AA518FF-D253-4310-A1F2-57A7FD96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1299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16</cp:revision>
  <dcterms:created xsi:type="dcterms:W3CDTF">2017-05-31T09:43:00Z</dcterms:created>
  <dcterms:modified xsi:type="dcterms:W3CDTF">2019-09-16T08:42:00Z</dcterms:modified>
</cp:coreProperties>
</file>